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34D" w:rsidRPr="00BB5E79" w:rsidRDefault="00BB5E79" w:rsidP="007613EB">
      <w:pPr>
        <w:spacing w:after="0" w:line="360" w:lineRule="auto"/>
        <w:jc w:val="center"/>
        <w:rPr>
          <w:b/>
          <w:szCs w:val="24"/>
        </w:rPr>
      </w:pPr>
      <w:r w:rsidRPr="00BB5E79">
        <w:rPr>
          <w:b/>
          <w:szCs w:val="24"/>
        </w:rPr>
        <w:t>Arno Reis DenkFabrik, Elmenhorst:</w:t>
      </w:r>
    </w:p>
    <w:p w:rsidR="007613EB" w:rsidRPr="007613EB" w:rsidRDefault="007613EB" w:rsidP="007613EB">
      <w:pPr>
        <w:spacing w:after="0" w:line="360" w:lineRule="auto"/>
        <w:jc w:val="center"/>
        <w:rPr>
          <w:b/>
          <w:sz w:val="28"/>
          <w:szCs w:val="28"/>
        </w:rPr>
      </w:pPr>
      <w:r>
        <w:rPr>
          <w:b/>
          <w:sz w:val="28"/>
          <w:szCs w:val="28"/>
        </w:rPr>
        <w:t>Aktuelle Probleme der Landwirtschaftsstruktur</w:t>
      </w:r>
    </w:p>
    <w:p w:rsidR="007613EB" w:rsidRDefault="007613EB" w:rsidP="004A0326">
      <w:pPr>
        <w:spacing w:after="0" w:line="360" w:lineRule="auto"/>
      </w:pPr>
    </w:p>
    <w:p w:rsidR="00A82F53" w:rsidRDefault="00A82F53" w:rsidP="004A0326">
      <w:pPr>
        <w:spacing w:after="0" w:line="360" w:lineRule="auto"/>
      </w:pPr>
      <w:r>
        <w:t>Ist jemand, wie Mecklenbur</w:t>
      </w:r>
      <w:r w:rsidR="0012356E">
        <w:t>g-</w:t>
      </w:r>
      <w:proofErr w:type="spellStart"/>
      <w:r w:rsidR="0012356E">
        <w:t>Vorpommern´s</w:t>
      </w:r>
      <w:proofErr w:type="spellEnd"/>
      <w:r w:rsidR="0012356E">
        <w:t xml:space="preserve"> Landwirtschaftsminister</w:t>
      </w:r>
      <w:r>
        <w:t xml:space="preserve"> Backhaus, stolz auf seine Volkskammervergangenheit, wenn es auch die erst</w:t>
      </w:r>
      <w:r w:rsidR="00090F29">
        <w:t>e</w:t>
      </w:r>
      <w:r>
        <w:t xml:space="preserve"> frei gewählte war, dann ahnt man ein Verständnis für landwirtschaftliche Strukturen: Politische Zielvorgaben für Betriebsgröße, Verhältnis von Pacht- zu Eigentumsflächen, Eigentümerstruktur</w:t>
      </w:r>
      <w:r w:rsidR="00F61ABD">
        <w:t>en</w:t>
      </w:r>
      <w:r>
        <w:t>.</w:t>
      </w:r>
      <w:r w:rsidR="0058104C">
        <w:t xml:space="preserve"> </w:t>
      </w:r>
      <w:r w:rsidR="006C434D">
        <w:t>Vielleicht gibt es</w:t>
      </w:r>
      <w:r>
        <w:t xml:space="preserve"> wieder </w:t>
      </w:r>
      <w:r w:rsidR="006C434D">
        <w:t>staatliche Anbaupläne und Anbauvorgaben (gibt es</w:t>
      </w:r>
      <w:r>
        <w:t xml:space="preserve"> indirekt, indem Veredelungsbetriebe bei der landeseigenen Verpachtung bevorzugt werden sollen) sowie Ablieferungsziele. </w:t>
      </w:r>
    </w:p>
    <w:p w:rsidR="004833A2" w:rsidRDefault="00F61ABD" w:rsidP="004A0326">
      <w:pPr>
        <w:spacing w:after="0" w:line="360" w:lineRule="auto"/>
      </w:pPr>
      <w:r>
        <w:t>Spaß</w:t>
      </w:r>
      <w:r w:rsidR="00A82F53">
        <w:t xml:space="preserve"> bei Seite: Im populistischen Fokus fast aller </w:t>
      </w:r>
      <w:r w:rsidR="009B3E42">
        <w:t>ostdeutschen</w:t>
      </w:r>
      <w:r w:rsidR="00A82F53">
        <w:t xml:space="preserve"> </w:t>
      </w:r>
      <w:r w:rsidR="009B3E42">
        <w:t>Landesregierungen</w:t>
      </w:r>
      <w:r w:rsidR="00A82F53">
        <w:t xml:space="preserve"> stehen</w:t>
      </w:r>
      <w:r w:rsidR="009B3E42">
        <w:t xml:space="preserve"> ungeliebte, ungewollte</w:t>
      </w:r>
      <w:r w:rsidR="000766AF">
        <w:t>, also</w:t>
      </w:r>
      <w:r w:rsidR="0058104C">
        <w:t xml:space="preserve"> fern zu haltende</w:t>
      </w:r>
      <w:r w:rsidR="009B3E42">
        <w:t xml:space="preserve"> landwirtschaftsfremde Großinve</w:t>
      </w:r>
      <w:r w:rsidR="00A82F53">
        <w:t>storen</w:t>
      </w:r>
      <w:r w:rsidR="009B3E42">
        <w:t xml:space="preserve">, </w:t>
      </w:r>
      <w:r>
        <w:t xml:space="preserve">die </w:t>
      </w:r>
      <w:r w:rsidR="009B3E42">
        <w:t>den armen Kleinlandwirten den Boden wegnehmen und die verkaufende</w:t>
      </w:r>
      <w:r w:rsidR="0058104C">
        <w:t>n</w:t>
      </w:r>
      <w:r w:rsidR="009B3E42">
        <w:t xml:space="preserve"> Genossenschaftsmitglieder steinreich machen</w:t>
      </w:r>
      <w:r w:rsidR="0058104C">
        <w:t>. Minister Backhaus</w:t>
      </w:r>
      <w:r w:rsidR="009B3E42">
        <w:t xml:space="preserve"> nennt das – politisch fein ziseliert – „Manchesterkapitalismus in Reinkultur“. </w:t>
      </w:r>
    </w:p>
    <w:p w:rsidR="004833A2" w:rsidRDefault="004833A2" w:rsidP="004A0326">
      <w:pPr>
        <w:spacing w:after="0" w:line="360" w:lineRule="auto"/>
      </w:pPr>
    </w:p>
    <w:p w:rsidR="004833A2" w:rsidRDefault="004833A2" w:rsidP="004A0326">
      <w:pPr>
        <w:spacing w:after="0" w:line="360" w:lineRule="auto"/>
        <w:rPr>
          <w:b/>
        </w:rPr>
      </w:pPr>
      <w:r w:rsidRPr="004833A2">
        <w:rPr>
          <w:b/>
        </w:rPr>
        <w:t xml:space="preserve">Exkurs: </w:t>
      </w:r>
      <w:r w:rsidR="006C434D">
        <w:rPr>
          <w:b/>
        </w:rPr>
        <w:t>Aufgabe der Landwirtschaft</w:t>
      </w:r>
    </w:p>
    <w:p w:rsidR="00350C0C" w:rsidRDefault="00350C0C" w:rsidP="004A0326">
      <w:pPr>
        <w:pStyle w:val="StandardWeb"/>
        <w:spacing w:before="0" w:beforeAutospacing="0" w:after="0" w:afterAutospacing="0" w:line="360" w:lineRule="auto"/>
      </w:pPr>
      <w:r>
        <w:t>Sozialromantiker möchten möglichst viele kleine Landwirte mit ihrer großen Familie</w:t>
      </w:r>
      <w:r w:rsidR="006C434D">
        <w:t>,</w:t>
      </w:r>
      <w:r>
        <w:t xml:space="preserve"> die sich auf eigener Scholle ernährt. Also nieder mit den Stoffabriken, zurück zu den Webstühlen?</w:t>
      </w:r>
      <w:r w:rsidR="005852C1">
        <w:t xml:space="preserve"> Professor Grethe, Vorsitzender des wissenschaftlichen Beirats beim </w:t>
      </w:r>
      <w:proofErr w:type="spellStart"/>
      <w:r w:rsidR="005852C1">
        <w:t>Bundeslandwirtschaftministeriums</w:t>
      </w:r>
      <w:proofErr w:type="spellEnd"/>
      <w:r w:rsidR="005852C1">
        <w:t>, spricht von „agrarromantischen Vorstellungen von eher städtischen Gruppen.“.</w:t>
      </w:r>
    </w:p>
    <w:p w:rsidR="00350C0C" w:rsidRDefault="00350C0C" w:rsidP="004A0326">
      <w:pPr>
        <w:pStyle w:val="StandardWeb"/>
        <w:spacing w:before="0" w:beforeAutospacing="0" w:after="0" w:afterAutospacing="0" w:line="360" w:lineRule="auto"/>
      </w:pPr>
      <w:r>
        <w:t xml:space="preserve">Umweltschützer </w:t>
      </w:r>
      <w:bookmarkStart w:id="0" w:name="_GoBack"/>
      <w:bookmarkEnd w:id="0"/>
      <w:r>
        <w:t xml:space="preserve">möchten keine großen </w:t>
      </w:r>
      <w:proofErr w:type="gramStart"/>
      <w:r>
        <w:t>Schläge</w:t>
      </w:r>
      <w:proofErr w:type="gramEnd"/>
      <w:r>
        <w:t xml:space="preserve"> sondern viele liebliche Handtücher voller Wildblumen als Vogel- und Insektenparadies. Na klar – das ist machbar: Man muß Verträge über Landschaftspflege abschließen – aus d</w:t>
      </w:r>
      <w:r w:rsidR="006C434D">
        <w:t>em Produzenten von Agrarprodukten</w:t>
      </w:r>
      <w:r>
        <w:t xml:space="preserve"> werden Landschaftspfleger und –</w:t>
      </w:r>
      <w:proofErr w:type="spellStart"/>
      <w:r>
        <w:t>gärtner</w:t>
      </w:r>
      <w:proofErr w:type="spellEnd"/>
      <w:r>
        <w:t>. Wer das bezahlt? Na, der Steuerzahler.</w:t>
      </w:r>
    </w:p>
    <w:p w:rsidR="00350C0C" w:rsidRDefault="00350C0C" w:rsidP="004A0326">
      <w:pPr>
        <w:pStyle w:val="StandardWeb"/>
        <w:spacing w:before="0" w:beforeAutospacing="0" w:after="0" w:afterAutospacing="0" w:line="360" w:lineRule="auto"/>
      </w:pPr>
      <w:r>
        <w:t>Frühere Regierungen in den alten Bundesländen hatten das Ziel, den Landwirten und ihren Familien ein angemessenes Einkommen zu sichern.</w:t>
      </w:r>
    </w:p>
    <w:p w:rsidR="00350C0C" w:rsidRDefault="00350C0C" w:rsidP="004A0326">
      <w:pPr>
        <w:pStyle w:val="StandardWeb"/>
        <w:spacing w:before="0" w:beforeAutospacing="0" w:after="0" w:afterAutospacing="0" w:line="360" w:lineRule="auto"/>
      </w:pPr>
      <w:r>
        <w:t>Bei allen Diskussionen bleibt der Konsument auf der Strecke – es scheint ihn nicht zu geben.</w:t>
      </w:r>
    </w:p>
    <w:p w:rsidR="00350C0C" w:rsidRDefault="00350C0C" w:rsidP="004A0326">
      <w:pPr>
        <w:pStyle w:val="StandardWeb"/>
        <w:spacing w:before="0" w:beforeAutospacing="0" w:after="0" w:afterAutospacing="0" w:line="360" w:lineRule="auto"/>
      </w:pPr>
      <w:r w:rsidRPr="00A161EB">
        <w:t xml:space="preserve">Der Konsument ist </w:t>
      </w:r>
      <w:r>
        <w:t>sowohl Kunde als auch</w:t>
      </w:r>
      <w:r w:rsidRPr="00A161EB">
        <w:t xml:space="preserve"> Ernä</w:t>
      </w:r>
      <w:r w:rsidR="00090F29">
        <w:t>hrer der Landwirtschaft</w:t>
      </w:r>
      <w:r w:rsidRPr="00A161EB">
        <w:t>. Es ist in Vergessenheit geraten, daß das Ziel jeder Landwirtschaft die Versorgung der Menschen mit</w:t>
      </w:r>
      <w:r w:rsidR="00853E33">
        <w:t xml:space="preserve"> Nahrungsmitteln ist. Nie mehr h</w:t>
      </w:r>
      <w:r w:rsidRPr="00A161EB">
        <w:t>unger</w:t>
      </w:r>
      <w:r w:rsidR="00853E33">
        <w:t>n wie nach 1945</w:t>
      </w:r>
      <w:r w:rsidRPr="00A161EB">
        <w:t>. In unserer bundesrepublikanischen Welt, die durch Jammern auf hohe</w:t>
      </w:r>
      <w:r w:rsidR="00090F29">
        <w:t>m Niveau gekennzeichnet ist, heißt</w:t>
      </w:r>
      <w:r w:rsidRPr="00A161EB">
        <w:t xml:space="preserve"> das primäre Ziel der Landwirtschaft</w:t>
      </w:r>
      <w:r w:rsidR="00090F29">
        <w:t xml:space="preserve"> nach wie vor: </w:t>
      </w:r>
      <w:r w:rsidRPr="00A161EB">
        <w:t xml:space="preserve">Versorgung der Bürger mit erschwinglichen, hochwertigen </w:t>
      </w:r>
      <w:r w:rsidR="00853E33">
        <w:t xml:space="preserve">Agrarprodukten für die </w:t>
      </w:r>
      <w:r w:rsidRPr="00A161EB">
        <w:t>Nahrungsmitte</w:t>
      </w:r>
      <w:r w:rsidR="00853E33">
        <w:t>lprodu</w:t>
      </w:r>
      <w:r w:rsidR="00AE78AA">
        <w:t>k</w:t>
      </w:r>
      <w:r w:rsidR="00853E33">
        <w:t>tion</w:t>
      </w:r>
      <w:r w:rsidR="00090F29">
        <w:t xml:space="preserve">. Aber das ist in der politsuchen </w:t>
      </w:r>
      <w:r w:rsidR="00090F29">
        <w:lastRenderedPageBreak/>
        <w:t xml:space="preserve">Wahrnehmung </w:t>
      </w:r>
      <w:r w:rsidR="00853E33">
        <w:t>i</w:t>
      </w:r>
      <w:r>
        <w:t>n den Hintergrund gerückt. Um das Versorgungsziel mit qualitativ hochwertigen, bezahlbaren Nahrungsmitteln zu erreichen, ist jede Landwirtschaft nachhaltig. Der Landwirt – wie auch immer er wirtschaftet - ist kein Raubbauer, sondern er schützt und optimiert seine Produktionsgrundlagen.</w:t>
      </w:r>
    </w:p>
    <w:p w:rsidR="00350C0C" w:rsidRDefault="00350C0C" w:rsidP="004A0326">
      <w:pPr>
        <w:pStyle w:val="StandardWeb"/>
        <w:spacing w:before="0" w:beforeAutospacing="0" w:after="0" w:afterAutospacing="0" w:line="360" w:lineRule="auto"/>
      </w:pPr>
      <w:r>
        <w:t>Es ist nicht Aufgabe des Staats</w:t>
      </w:r>
      <w:r w:rsidR="00090F29">
        <w:t>,</w:t>
      </w:r>
      <w:r>
        <w:t xml:space="preserve"> die Strukturen</w:t>
      </w:r>
      <w:r w:rsidR="00853E33">
        <w:t xml:space="preserve"> zur Zielerreichung vorzugeben</w:t>
      </w:r>
      <w:r>
        <w:t xml:space="preserve">. In der Marktwirtschaft setzt er Rahmenbedingungen – mehr nicht. Dazu ist ein Blick in die höchstrichterliche Rechtsprechung zum sogenannten </w:t>
      </w:r>
      <w:proofErr w:type="spellStart"/>
      <w:r>
        <w:t>Landwirteprivileg</w:t>
      </w:r>
      <w:proofErr w:type="spellEnd"/>
      <w:r>
        <w:t xml:space="preserve"> </w:t>
      </w:r>
      <w:proofErr w:type="gramStart"/>
      <w:r>
        <w:t>( §</w:t>
      </w:r>
      <w:proofErr w:type="gramEnd"/>
      <w:r>
        <w:t xml:space="preserve"> 9 </w:t>
      </w:r>
      <w:proofErr w:type="spellStart"/>
      <w:r>
        <w:t>Abs</w:t>
      </w:r>
      <w:proofErr w:type="spellEnd"/>
      <w:r>
        <w:t xml:space="preserve">: 1 </w:t>
      </w:r>
      <w:proofErr w:type="spellStart"/>
      <w:r>
        <w:t>Nr</w:t>
      </w:r>
      <w:proofErr w:type="spellEnd"/>
      <w:r>
        <w:t>: 2 i.V. mit § 9 Abs. 3 Nr. 1 GrdstVG ) beim Landkauf hilfreich.</w:t>
      </w:r>
    </w:p>
    <w:p w:rsidR="00350C0C" w:rsidRDefault="00350C0C" w:rsidP="004A0326">
      <w:pPr>
        <w:spacing w:after="0" w:line="360" w:lineRule="auto"/>
      </w:pPr>
      <w:r w:rsidRPr="005A76DE">
        <w:rPr>
          <w:rStyle w:val="value"/>
        </w:rPr>
        <w:t xml:space="preserve">BVerfG - Beschluß vom 19.06.1969 (1 </w:t>
      </w:r>
      <w:proofErr w:type="spellStart"/>
      <w:r w:rsidRPr="005A76DE">
        <w:rPr>
          <w:rStyle w:val="value"/>
        </w:rPr>
        <w:t>BvR</w:t>
      </w:r>
      <w:proofErr w:type="spellEnd"/>
      <w:r w:rsidRPr="005A76DE">
        <w:rPr>
          <w:rStyle w:val="value"/>
        </w:rPr>
        <w:t xml:space="preserve"> 353/67)</w:t>
      </w:r>
      <w:r>
        <w:rPr>
          <w:rStyle w:val="value"/>
        </w:rPr>
        <w:t>:</w:t>
      </w:r>
    </w:p>
    <w:p w:rsidR="004833A2" w:rsidRPr="000766AF" w:rsidRDefault="00350C0C" w:rsidP="004A0326">
      <w:pPr>
        <w:spacing w:after="0" w:line="360" w:lineRule="auto"/>
        <w:rPr>
          <w:i/>
        </w:rPr>
      </w:pPr>
      <w:r>
        <w:rPr>
          <w:i/>
        </w:rPr>
        <w:t>„</w:t>
      </w:r>
      <w:r w:rsidRPr="00350C0C">
        <w:rPr>
          <w:i/>
        </w:rPr>
        <w:t xml:space="preserve">Diese umfassende Aufgabe kann neben vielen anderen Maßnahmen, wie beispielsweise der Modernisierung der betrieblichen Ausstattung, der Verbesserung der landwirtschaftlichen Sozialpolitik und der Marktstruktur (vgl. § 2 EWG-Anpassungsgesetz), nur durchgesetzt werden, wenn die überkommene und überalterte Agrarstruktur verbessert wird. Diesem Zweck dienen die Vorschriften über den Verkehr mit landwirtschaftlichen Grundstücken. Sie sind nach dem Willen des Gesetzgebers ein rechtliches Hilfsmittel zur Verbesserung der Agrarstruktur und zur Sicherung der durchgeführten agrarstrukturellen Maßnahmen (vgl. hierzu den Bericht des Bundestagsausschusses für Ernährung, Landwirtschaft und Forsten zum Entwurf des Grundstücksverkehrsgesetzes - </w:t>
      </w:r>
      <w:proofErr w:type="spellStart"/>
      <w:r w:rsidRPr="00350C0C">
        <w:rPr>
          <w:i/>
        </w:rPr>
        <w:t>BTDrucks</w:t>
      </w:r>
      <w:proofErr w:type="spellEnd"/>
      <w:r w:rsidRPr="00350C0C">
        <w:rPr>
          <w:i/>
        </w:rPr>
        <w:t xml:space="preserve">. III/2635 Ziff. I). Zweck der Vorschriften ist, die Agrarstruktur zu fördern, nicht aber unzeitgemäße Verhältnisse zu konservieren; es geht nicht darum, den Grundstücksverkehr zu verhindern, sondern ihn im Rahmen der Maßnahmen zur Verbesserung der Agrarstruktur zu halten. Das Genehmigungsverfahren dient nicht der Lenkung des landwirtschaftlichen Grundstücksverkehrs, sondern der Abwehr von Gefahren für die Agrarstruktur. Auf dieses Ziel sind - wie das Bundesverfassungsgericht dargelegt hat - die Versagungsgründe des § 9 Abs. 1 Nr. 1 und Nr. 3 </w:t>
      </w:r>
      <w:proofErr w:type="spellStart"/>
      <w:r w:rsidRPr="00350C0C">
        <w:rPr>
          <w:i/>
        </w:rPr>
        <w:t>GrdStVG</w:t>
      </w:r>
      <w:proofErr w:type="spellEnd"/>
      <w:r w:rsidRPr="00350C0C">
        <w:rPr>
          <w:i/>
        </w:rPr>
        <w:t xml:space="preserve"> in verfassungsmäßiger Weise ausgerichtet (BVerfGE 21, </w:t>
      </w:r>
      <w:hyperlink r:id="rId5" w:history="1">
        <w:r w:rsidRPr="00350C0C">
          <w:rPr>
            <w:rStyle w:val="Hyperlink"/>
            <w:i/>
            <w:color w:val="auto"/>
          </w:rPr>
          <w:t>73</w:t>
        </w:r>
      </w:hyperlink>
      <w:r w:rsidRPr="00350C0C">
        <w:rPr>
          <w:i/>
        </w:rPr>
        <w:t xml:space="preserve"> (80 f.) und 87 (90)).</w:t>
      </w:r>
      <w:r>
        <w:rPr>
          <w:i/>
        </w:rPr>
        <w:t>“</w:t>
      </w:r>
    </w:p>
    <w:p w:rsidR="00090F29" w:rsidRDefault="00090F29" w:rsidP="004A0326">
      <w:pPr>
        <w:spacing w:after="0" w:line="360" w:lineRule="auto"/>
      </w:pPr>
    </w:p>
    <w:p w:rsidR="00090F29" w:rsidRPr="00090F29" w:rsidRDefault="00090F29" w:rsidP="004A0326">
      <w:pPr>
        <w:spacing w:after="0" w:line="360" w:lineRule="auto"/>
        <w:rPr>
          <w:b/>
        </w:rPr>
      </w:pPr>
      <w:r w:rsidRPr="00090F29">
        <w:rPr>
          <w:b/>
        </w:rPr>
        <w:t xml:space="preserve">Die </w:t>
      </w:r>
      <w:proofErr w:type="spellStart"/>
      <w:r w:rsidRPr="00090F29">
        <w:rPr>
          <w:b/>
        </w:rPr>
        <w:t>Thünenstudie</w:t>
      </w:r>
      <w:proofErr w:type="spellEnd"/>
      <w:r w:rsidRPr="00090F29">
        <w:rPr>
          <w:b/>
        </w:rPr>
        <w:t>: Methodisch problematisch</w:t>
      </w:r>
    </w:p>
    <w:p w:rsidR="00F31CE8" w:rsidRDefault="00B57366" w:rsidP="004A0326">
      <w:pPr>
        <w:spacing w:after="0" w:line="360" w:lineRule="auto"/>
        <w:rPr>
          <w:rFonts w:eastAsia="Times New Roman" w:cs="Times New Roman"/>
          <w:szCs w:val="24"/>
          <w:lang w:eastAsia="de-DE"/>
        </w:rPr>
      </w:pPr>
      <w:r>
        <w:t>Minister Backhaus bedien</w:t>
      </w:r>
      <w:r w:rsidR="00090F29">
        <w:t>t sich bei</w:t>
      </w:r>
      <w:r w:rsidR="009B3E42">
        <w:t xml:space="preserve"> </w:t>
      </w:r>
      <w:r w:rsidR="0058104C">
        <w:t>s</w:t>
      </w:r>
      <w:r w:rsidR="009B3E42">
        <w:t>ein</w:t>
      </w:r>
      <w:r w:rsidR="00090F29">
        <w:t>er Argumentation</w:t>
      </w:r>
      <w:r w:rsidR="009B3E42">
        <w:t xml:space="preserve"> der Ergebnisse </w:t>
      </w:r>
      <w:r w:rsidR="00090F29">
        <w:rPr>
          <w:rFonts w:cs="Times New Roman"/>
          <w:szCs w:val="24"/>
        </w:rPr>
        <w:t>des</w:t>
      </w:r>
      <w:r w:rsidR="009B3E42" w:rsidRPr="00F61ABD">
        <w:rPr>
          <w:rFonts w:cs="Times New Roman"/>
          <w:szCs w:val="24"/>
        </w:rPr>
        <w:t xml:space="preserve"> </w:t>
      </w:r>
      <w:proofErr w:type="spellStart"/>
      <w:r w:rsidR="00F61ABD" w:rsidRPr="00F61ABD">
        <w:rPr>
          <w:rFonts w:eastAsia="Times New Roman" w:cs="Times New Roman"/>
          <w:szCs w:val="24"/>
          <w:lang w:eastAsia="de-DE"/>
        </w:rPr>
        <w:t>Thünen</w:t>
      </w:r>
      <w:proofErr w:type="spellEnd"/>
      <w:r w:rsidR="00F61ABD" w:rsidRPr="00F61ABD">
        <w:rPr>
          <w:rFonts w:eastAsia="Times New Roman" w:cs="Times New Roman"/>
          <w:szCs w:val="24"/>
          <w:lang w:eastAsia="de-DE"/>
        </w:rPr>
        <w:t xml:space="preserve"> Report 52</w:t>
      </w:r>
      <w:r w:rsidR="00F61ABD">
        <w:rPr>
          <w:rFonts w:eastAsia="Times New Roman" w:cs="Times New Roman"/>
          <w:szCs w:val="24"/>
          <w:lang w:eastAsia="de-DE"/>
        </w:rPr>
        <w:t xml:space="preserve"> von 2017, die</w:t>
      </w:r>
      <w:r w:rsidR="0058104C">
        <w:rPr>
          <w:rFonts w:eastAsia="Times New Roman" w:cs="Times New Roman"/>
          <w:szCs w:val="24"/>
          <w:lang w:eastAsia="de-DE"/>
        </w:rPr>
        <w:t>se</w:t>
      </w:r>
      <w:r w:rsidR="00F61ABD">
        <w:rPr>
          <w:rFonts w:eastAsia="Times New Roman" w:cs="Times New Roman"/>
          <w:szCs w:val="24"/>
          <w:lang w:eastAsia="de-DE"/>
        </w:rPr>
        <w:t xml:space="preserve"> basiert auf </w:t>
      </w:r>
      <w:proofErr w:type="spellStart"/>
      <w:r w:rsidR="00B727FD">
        <w:rPr>
          <w:rFonts w:eastAsia="Times New Roman" w:cs="Times New Roman"/>
          <w:szCs w:val="24"/>
          <w:lang w:eastAsia="de-DE"/>
        </w:rPr>
        <w:t>Thünen</w:t>
      </w:r>
      <w:proofErr w:type="spellEnd"/>
      <w:r w:rsidR="00B727FD">
        <w:rPr>
          <w:rFonts w:eastAsia="Times New Roman" w:cs="Times New Roman"/>
          <w:szCs w:val="24"/>
          <w:lang w:eastAsia="de-DE"/>
        </w:rPr>
        <w:t xml:space="preserve"> Report 5</w:t>
      </w:r>
      <w:r w:rsidR="00090F29">
        <w:rPr>
          <w:rFonts w:eastAsia="Times New Roman" w:cs="Times New Roman"/>
          <w:szCs w:val="24"/>
          <w:lang w:eastAsia="de-DE"/>
        </w:rPr>
        <w:t xml:space="preserve"> s</w:t>
      </w:r>
      <w:r w:rsidR="00F45E0C">
        <w:rPr>
          <w:rFonts w:eastAsia="Times New Roman" w:cs="Times New Roman"/>
          <w:szCs w:val="24"/>
          <w:lang w:eastAsia="de-DE"/>
        </w:rPr>
        <w:t xml:space="preserve">owie </w:t>
      </w:r>
      <w:r w:rsidR="00090F29">
        <w:rPr>
          <w:rFonts w:eastAsia="Times New Roman" w:cs="Times New Roman"/>
          <w:szCs w:val="24"/>
          <w:lang w:eastAsia="de-DE"/>
        </w:rPr>
        <w:t xml:space="preserve">die </w:t>
      </w:r>
      <w:r w:rsidR="00F45E0C">
        <w:rPr>
          <w:rFonts w:eastAsia="Times New Roman" w:cs="Times New Roman"/>
          <w:szCs w:val="24"/>
          <w:lang w:eastAsia="de-DE"/>
        </w:rPr>
        <w:t xml:space="preserve">2., aktualisierte Fassung. </w:t>
      </w:r>
      <w:r>
        <w:rPr>
          <w:rFonts w:eastAsia="Times New Roman" w:cs="Times New Roman"/>
          <w:szCs w:val="24"/>
          <w:lang w:eastAsia="de-DE"/>
        </w:rPr>
        <w:t xml:space="preserve">Untersucht wurden ausschließlich Betriebe, die im Handelsregister als GmbH eingetragen waren – alle anderen Rechtsformen sowie Personalgesellschaften und Einzelunternehmen fehlten. </w:t>
      </w:r>
      <w:r w:rsidR="00F45E0C">
        <w:rPr>
          <w:rFonts w:eastAsia="Times New Roman" w:cs="Times New Roman"/>
          <w:szCs w:val="24"/>
          <w:lang w:eastAsia="de-DE"/>
        </w:rPr>
        <w:t>Die</w:t>
      </w:r>
      <w:r w:rsidR="00F61ABD">
        <w:rPr>
          <w:rFonts w:eastAsia="Times New Roman" w:cs="Times New Roman"/>
          <w:szCs w:val="24"/>
          <w:lang w:eastAsia="de-DE"/>
        </w:rPr>
        <w:t xml:space="preserve"> in der Studie ausgewiesene Kapitalmehrheit </w:t>
      </w:r>
      <w:r>
        <w:rPr>
          <w:rFonts w:eastAsia="Times New Roman" w:cs="Times New Roman"/>
          <w:szCs w:val="24"/>
          <w:lang w:eastAsia="de-DE"/>
        </w:rPr>
        <w:t xml:space="preserve">an GmbHs </w:t>
      </w:r>
      <w:r w:rsidR="00F61ABD">
        <w:rPr>
          <w:rFonts w:eastAsia="Times New Roman" w:cs="Times New Roman"/>
          <w:szCs w:val="24"/>
          <w:lang w:eastAsia="de-DE"/>
        </w:rPr>
        <w:t>sogenannter außer</w:t>
      </w:r>
      <w:r w:rsidR="00F31CE8">
        <w:rPr>
          <w:rFonts w:eastAsia="Times New Roman" w:cs="Times New Roman"/>
          <w:szCs w:val="24"/>
          <w:lang w:eastAsia="de-DE"/>
        </w:rPr>
        <w:t>landwirtschaftlicher Inv</w:t>
      </w:r>
      <w:r w:rsidR="00090F29">
        <w:rPr>
          <w:rFonts w:eastAsia="Times New Roman" w:cs="Times New Roman"/>
          <w:szCs w:val="24"/>
          <w:lang w:eastAsia="de-DE"/>
        </w:rPr>
        <w:t>estoren bezieht sich in MV auf zwei Landkreise</w:t>
      </w:r>
      <w:r w:rsidR="00F31CE8">
        <w:rPr>
          <w:rFonts w:eastAsia="Times New Roman" w:cs="Times New Roman"/>
          <w:szCs w:val="24"/>
          <w:lang w:eastAsia="de-DE"/>
        </w:rPr>
        <w:t>.</w:t>
      </w:r>
      <w:r w:rsidR="0058104C">
        <w:rPr>
          <w:rFonts w:eastAsia="Times New Roman" w:cs="Times New Roman"/>
          <w:szCs w:val="24"/>
          <w:lang w:eastAsia="de-DE"/>
        </w:rPr>
        <w:t xml:space="preserve"> </w:t>
      </w:r>
      <w:r w:rsidR="00F45E0C">
        <w:rPr>
          <w:rFonts w:eastAsia="Times New Roman" w:cs="Times New Roman"/>
          <w:szCs w:val="24"/>
          <w:lang w:eastAsia="de-DE"/>
        </w:rPr>
        <w:t xml:space="preserve">Die </w:t>
      </w:r>
      <w:r w:rsidR="00F45E0C">
        <w:rPr>
          <w:rFonts w:eastAsia="Times New Roman" w:cs="Times New Roman"/>
          <w:szCs w:val="24"/>
          <w:lang w:eastAsia="de-DE"/>
        </w:rPr>
        <w:lastRenderedPageBreak/>
        <w:t xml:space="preserve">untersuchten </w:t>
      </w:r>
      <w:r>
        <w:rPr>
          <w:rFonts w:eastAsia="Times New Roman" w:cs="Times New Roman"/>
          <w:szCs w:val="24"/>
          <w:lang w:eastAsia="de-DE"/>
        </w:rPr>
        <w:t>GmbHs</w:t>
      </w:r>
      <w:r w:rsidR="00090F29">
        <w:rPr>
          <w:rFonts w:eastAsia="Times New Roman" w:cs="Times New Roman"/>
          <w:szCs w:val="24"/>
          <w:lang w:eastAsia="de-DE"/>
        </w:rPr>
        <w:t xml:space="preserve"> repräsentieren 20 % aller</w:t>
      </w:r>
      <w:r>
        <w:rPr>
          <w:rFonts w:eastAsia="Times New Roman" w:cs="Times New Roman"/>
          <w:szCs w:val="24"/>
          <w:lang w:eastAsia="de-DE"/>
        </w:rPr>
        <w:t xml:space="preserve"> GmbHs</w:t>
      </w:r>
      <w:r w:rsidR="00F45E0C">
        <w:rPr>
          <w:rFonts w:eastAsia="Times New Roman" w:cs="Times New Roman"/>
          <w:szCs w:val="24"/>
          <w:lang w:eastAsia="de-DE"/>
        </w:rPr>
        <w:t xml:space="preserve"> im jeweiligen Landkreis. </w:t>
      </w:r>
      <w:r w:rsidR="0058104C">
        <w:rPr>
          <w:rFonts w:eastAsia="Times New Roman" w:cs="Times New Roman"/>
          <w:szCs w:val="24"/>
          <w:lang w:eastAsia="de-DE"/>
        </w:rPr>
        <w:t>Also repräsentativ für das Bundesland?</w:t>
      </w:r>
      <w:r w:rsidR="00CD6B6E">
        <w:rPr>
          <w:rFonts w:eastAsia="Times New Roman" w:cs="Times New Roman"/>
          <w:szCs w:val="24"/>
          <w:lang w:eastAsia="de-DE"/>
        </w:rPr>
        <w:t xml:space="preserve"> </w:t>
      </w:r>
      <w:r w:rsidR="00853E33">
        <w:rPr>
          <w:rFonts w:eastAsia="Times New Roman" w:cs="Times New Roman"/>
          <w:szCs w:val="24"/>
          <w:lang w:eastAsia="de-DE"/>
        </w:rPr>
        <w:t xml:space="preserve">Minister Backhaus tut so wider besseres Wissen. </w:t>
      </w:r>
      <w:r>
        <w:rPr>
          <w:rFonts w:eastAsia="Times New Roman" w:cs="Times New Roman"/>
          <w:szCs w:val="24"/>
          <w:lang w:eastAsia="de-DE"/>
        </w:rPr>
        <w:t xml:space="preserve">Dabei ist die Auswahl keinesfalls repräsentativ, die Ergebnisse und Schlußfolgerungen </w:t>
      </w:r>
      <w:r w:rsidR="00AE78AA">
        <w:rPr>
          <w:rFonts w:eastAsia="Times New Roman" w:cs="Times New Roman"/>
          <w:szCs w:val="24"/>
          <w:lang w:eastAsia="de-DE"/>
        </w:rPr>
        <w:t>irreführend</w:t>
      </w:r>
      <w:r>
        <w:rPr>
          <w:rFonts w:eastAsia="Times New Roman" w:cs="Times New Roman"/>
          <w:szCs w:val="24"/>
          <w:lang w:eastAsia="de-DE"/>
        </w:rPr>
        <w:t xml:space="preserve">. </w:t>
      </w:r>
      <w:r w:rsidR="00CD6B6E">
        <w:rPr>
          <w:rFonts w:eastAsia="Times New Roman" w:cs="Times New Roman"/>
          <w:szCs w:val="24"/>
          <w:lang w:eastAsia="de-DE"/>
        </w:rPr>
        <w:t>In der 2., aktualisierte Fassung schreiben die Autoren: dürfte „aufgrund des gewählten methodischen Ansatzes (Fallregionen) nur begrenzt auf andere Regionen übertragbar sein“.</w:t>
      </w:r>
    </w:p>
    <w:p w:rsidR="009B3E42" w:rsidRDefault="00F45E0C" w:rsidP="004A0326">
      <w:pPr>
        <w:spacing w:after="0" w:line="360" w:lineRule="auto"/>
      </w:pPr>
      <w:r>
        <w:t>Weiterhin</w:t>
      </w:r>
      <w:r w:rsidR="00CD6B6E">
        <w:t xml:space="preserve"> scheint</w:t>
      </w:r>
      <w:r w:rsidR="0058104C">
        <w:t xml:space="preserve"> Minister Backhaus</w:t>
      </w:r>
      <w:r w:rsidR="009B3E42">
        <w:t xml:space="preserve"> entgangen sein, daß diese</w:t>
      </w:r>
      <w:r w:rsidR="00F31CE8">
        <w:t xml:space="preserve"> </w:t>
      </w:r>
      <w:r w:rsidR="0058104C">
        <w:t>Studie</w:t>
      </w:r>
      <w:r w:rsidR="009B3E42">
        <w:t xml:space="preserve"> methodische </w:t>
      </w:r>
      <w:r w:rsidR="00853E33">
        <w:t xml:space="preserve">Unsauberkeiten bzw. </w:t>
      </w:r>
      <w:r w:rsidR="009B3E42">
        <w:t>Fehler hat.</w:t>
      </w:r>
    </w:p>
    <w:p w:rsidR="00171BDB" w:rsidRDefault="00171BDB" w:rsidP="004A0326">
      <w:pPr>
        <w:spacing w:after="0" w:line="360" w:lineRule="auto"/>
      </w:pPr>
      <w:r>
        <w:t>Die Klassifizierung der Eigentümerstruktur ist angreifbar:</w:t>
      </w:r>
    </w:p>
    <w:p w:rsidR="00171BDB" w:rsidRPr="009E2A77" w:rsidRDefault="00171BDB" w:rsidP="004A0326">
      <w:pPr>
        <w:pStyle w:val="Listenabsatz"/>
        <w:numPr>
          <w:ilvl w:val="0"/>
          <w:numId w:val="3"/>
        </w:numPr>
        <w:spacing w:after="0" w:line="360" w:lineRule="auto"/>
        <w:rPr>
          <w:rFonts w:eastAsia="Times New Roman" w:cs="Times New Roman"/>
          <w:szCs w:val="24"/>
          <w:lang w:eastAsia="de-DE"/>
        </w:rPr>
      </w:pPr>
      <w:r w:rsidRPr="009E2A77">
        <w:rPr>
          <w:rFonts w:eastAsia="Times New Roman" w:cs="Times New Roman"/>
          <w:szCs w:val="24"/>
          <w:lang w:eastAsia="de-DE"/>
        </w:rPr>
        <w:t>Ortsansässige Kapitaleigner mit Wohnort im Radius bis 50 km vom Unternehmenssitz</w:t>
      </w:r>
    </w:p>
    <w:p w:rsidR="00171BDB" w:rsidRPr="009E2A77" w:rsidRDefault="00171BDB" w:rsidP="004A0326">
      <w:pPr>
        <w:pStyle w:val="Listenabsatz"/>
        <w:numPr>
          <w:ilvl w:val="0"/>
          <w:numId w:val="3"/>
        </w:numPr>
        <w:spacing w:after="0" w:line="360" w:lineRule="auto"/>
        <w:rPr>
          <w:rFonts w:eastAsia="Times New Roman" w:cs="Times New Roman"/>
          <w:szCs w:val="24"/>
          <w:lang w:eastAsia="de-DE"/>
        </w:rPr>
      </w:pPr>
      <w:r w:rsidRPr="009E2A77">
        <w:rPr>
          <w:rFonts w:eastAsia="Times New Roman" w:cs="Times New Roman"/>
          <w:szCs w:val="24"/>
          <w:lang w:eastAsia="de-DE"/>
        </w:rPr>
        <w:t>Landwirtschaftsnahe Kapitaleigner mit Wohnort im Radius über 50 km vom Unternehmenssitz</w:t>
      </w:r>
    </w:p>
    <w:p w:rsidR="00171BDB" w:rsidRPr="009E2A77" w:rsidRDefault="00171BDB" w:rsidP="004A0326">
      <w:pPr>
        <w:pStyle w:val="Listenabsatz"/>
        <w:numPr>
          <w:ilvl w:val="0"/>
          <w:numId w:val="3"/>
        </w:numPr>
        <w:spacing w:after="0" w:line="360" w:lineRule="auto"/>
        <w:rPr>
          <w:rFonts w:eastAsia="Times New Roman" w:cs="Times New Roman"/>
          <w:szCs w:val="24"/>
          <w:lang w:eastAsia="de-DE"/>
        </w:rPr>
      </w:pPr>
      <w:r w:rsidRPr="009E2A77">
        <w:rPr>
          <w:rFonts w:eastAsia="Times New Roman" w:cs="Times New Roman"/>
          <w:szCs w:val="24"/>
          <w:lang w:eastAsia="de-DE"/>
        </w:rPr>
        <w:t>Nichtlandwirtschaftliche Investoren mit Wohnort im Radius über 50 km vom Unternehmenssitz</w:t>
      </w:r>
    </w:p>
    <w:p w:rsidR="00171BDB" w:rsidRDefault="00737232" w:rsidP="004A0326">
      <w:pPr>
        <w:spacing w:after="0" w:line="360" w:lineRule="auto"/>
        <w:rPr>
          <w:rFonts w:eastAsia="Times New Roman" w:cs="Times New Roman"/>
          <w:szCs w:val="24"/>
          <w:lang w:eastAsia="de-DE"/>
        </w:rPr>
      </w:pPr>
      <w:r>
        <w:rPr>
          <w:rFonts w:eastAsia="Times New Roman" w:cs="Times New Roman"/>
          <w:szCs w:val="24"/>
          <w:lang w:eastAsia="de-DE"/>
        </w:rPr>
        <w:t xml:space="preserve">Der </w:t>
      </w:r>
      <w:r w:rsidR="00853E33">
        <w:rPr>
          <w:rFonts w:eastAsia="Times New Roman" w:cs="Times New Roman"/>
          <w:szCs w:val="24"/>
          <w:lang w:eastAsia="de-DE"/>
        </w:rPr>
        <w:t>Differenzierung nach Wohnort</w:t>
      </w:r>
      <w:r>
        <w:rPr>
          <w:rFonts w:eastAsia="Times New Roman" w:cs="Times New Roman"/>
          <w:szCs w:val="24"/>
          <w:lang w:eastAsia="de-DE"/>
        </w:rPr>
        <w:t xml:space="preserve"> des Kapitaleigen</w:t>
      </w:r>
      <w:r w:rsidR="00B727FD">
        <w:rPr>
          <w:rFonts w:eastAsia="Times New Roman" w:cs="Times New Roman"/>
          <w:szCs w:val="24"/>
          <w:lang w:eastAsia="de-DE"/>
        </w:rPr>
        <w:t xml:space="preserve">tümers führt </w:t>
      </w:r>
      <w:r>
        <w:rPr>
          <w:rFonts w:eastAsia="Times New Roman" w:cs="Times New Roman"/>
          <w:szCs w:val="24"/>
          <w:lang w:eastAsia="de-DE"/>
        </w:rPr>
        <w:t>zu einer Diskriminierung, der Report scheint einen</w:t>
      </w:r>
      <w:r w:rsidR="00CD6B6E">
        <w:rPr>
          <w:rFonts w:eastAsia="Times New Roman" w:cs="Times New Roman"/>
          <w:szCs w:val="24"/>
          <w:lang w:eastAsia="de-DE"/>
        </w:rPr>
        <w:t xml:space="preserve"> politischen Zweck zu verfolgen.</w:t>
      </w:r>
    </w:p>
    <w:p w:rsidR="002E4628" w:rsidRDefault="002E4628" w:rsidP="004A0326">
      <w:pPr>
        <w:spacing w:after="0" w:line="360" w:lineRule="auto"/>
        <w:rPr>
          <w:rFonts w:eastAsia="Times New Roman" w:cs="Times New Roman"/>
          <w:szCs w:val="24"/>
          <w:lang w:eastAsia="de-DE"/>
        </w:rPr>
      </w:pPr>
      <w:r>
        <w:rPr>
          <w:rFonts w:eastAsia="Times New Roman" w:cs="Times New Roman"/>
          <w:szCs w:val="24"/>
          <w:lang w:eastAsia="de-DE"/>
        </w:rPr>
        <w:t>Nebulös</w:t>
      </w:r>
      <w:r w:rsidR="007E1179">
        <w:rPr>
          <w:rFonts w:eastAsia="Times New Roman" w:cs="Times New Roman"/>
          <w:szCs w:val="24"/>
          <w:lang w:eastAsia="de-DE"/>
        </w:rPr>
        <w:t>,</w:t>
      </w:r>
      <w:r>
        <w:rPr>
          <w:rFonts w:eastAsia="Times New Roman" w:cs="Times New Roman"/>
          <w:szCs w:val="24"/>
          <w:lang w:eastAsia="de-DE"/>
        </w:rPr>
        <w:t xml:space="preserve"> wenn </w:t>
      </w:r>
      <w:proofErr w:type="gramStart"/>
      <w:r>
        <w:rPr>
          <w:rFonts w:eastAsia="Times New Roman" w:cs="Times New Roman"/>
          <w:szCs w:val="24"/>
          <w:lang w:eastAsia="de-DE"/>
        </w:rPr>
        <w:t>nicht diskriminierend</w:t>
      </w:r>
      <w:proofErr w:type="gramEnd"/>
      <w:r w:rsidR="007E1179">
        <w:rPr>
          <w:rFonts w:eastAsia="Times New Roman" w:cs="Times New Roman"/>
          <w:szCs w:val="24"/>
          <w:lang w:eastAsia="de-DE"/>
        </w:rPr>
        <w:t>,</w:t>
      </w:r>
      <w:r>
        <w:rPr>
          <w:rFonts w:eastAsia="Times New Roman" w:cs="Times New Roman"/>
          <w:szCs w:val="24"/>
          <w:lang w:eastAsia="de-DE"/>
        </w:rPr>
        <w:t xml:space="preserve"> ist der Begriff „</w:t>
      </w:r>
      <w:r w:rsidRPr="009E2A77">
        <w:rPr>
          <w:rFonts w:eastAsia="Times New Roman" w:cs="Times New Roman"/>
          <w:szCs w:val="24"/>
          <w:lang w:eastAsia="de-DE"/>
        </w:rPr>
        <w:t>Nichtlandwirtschaftliche Investoren</w:t>
      </w:r>
      <w:r>
        <w:rPr>
          <w:rFonts w:eastAsia="Times New Roman" w:cs="Times New Roman"/>
          <w:szCs w:val="24"/>
          <w:lang w:eastAsia="de-DE"/>
        </w:rPr>
        <w:t xml:space="preserve">“. Man könnte dahinter </w:t>
      </w:r>
      <w:r w:rsidR="00140B30">
        <w:rPr>
          <w:rFonts w:eastAsia="Times New Roman" w:cs="Times New Roman"/>
          <w:szCs w:val="24"/>
          <w:lang w:eastAsia="de-DE"/>
        </w:rPr>
        <w:t>eine</w:t>
      </w:r>
      <w:r>
        <w:rPr>
          <w:rFonts w:eastAsia="Times New Roman" w:cs="Times New Roman"/>
          <w:szCs w:val="24"/>
          <w:lang w:eastAsia="de-DE"/>
        </w:rPr>
        <w:t xml:space="preserve"> Blut-und-Boden-Ideologie vermuten. </w:t>
      </w:r>
      <w:r w:rsidR="00140B30">
        <w:rPr>
          <w:rFonts w:eastAsia="Times New Roman" w:cs="Times New Roman"/>
          <w:szCs w:val="24"/>
          <w:lang w:eastAsia="de-DE"/>
        </w:rPr>
        <w:t xml:space="preserve">Darf nur ein Maurer einen Baubetrieb kaufen? Nur ein Informatiker ein </w:t>
      </w:r>
      <w:proofErr w:type="spellStart"/>
      <w:r w:rsidR="00140B30">
        <w:rPr>
          <w:rFonts w:eastAsia="Times New Roman" w:cs="Times New Roman"/>
          <w:szCs w:val="24"/>
          <w:lang w:eastAsia="de-DE"/>
        </w:rPr>
        <w:t>IT</w:t>
      </w:r>
      <w:proofErr w:type="spellEnd"/>
      <w:r w:rsidR="00140B30">
        <w:rPr>
          <w:rFonts w:eastAsia="Times New Roman" w:cs="Times New Roman"/>
          <w:szCs w:val="24"/>
          <w:lang w:eastAsia="de-DE"/>
        </w:rPr>
        <w:t>-Unternehmen? Das verstieße gegen das Grundgesetz.</w:t>
      </w:r>
    </w:p>
    <w:p w:rsidR="00737232" w:rsidRDefault="00CD6B6E" w:rsidP="004A0326">
      <w:pPr>
        <w:spacing w:after="0" w:line="360" w:lineRule="auto"/>
        <w:rPr>
          <w:rFonts w:eastAsia="Times New Roman" w:cs="Times New Roman"/>
          <w:szCs w:val="24"/>
          <w:lang w:eastAsia="de-DE"/>
        </w:rPr>
      </w:pPr>
      <w:r>
        <w:rPr>
          <w:rFonts w:eastAsia="Times New Roman" w:cs="Times New Roman"/>
          <w:szCs w:val="24"/>
          <w:lang w:eastAsia="de-DE"/>
        </w:rPr>
        <w:t>Ein schwerer</w:t>
      </w:r>
      <w:r w:rsidR="00140B30">
        <w:rPr>
          <w:rFonts w:eastAsia="Times New Roman" w:cs="Times New Roman"/>
          <w:szCs w:val="24"/>
          <w:lang w:eastAsia="de-DE"/>
        </w:rPr>
        <w:t xml:space="preserve"> methodischer Mangel der Studie: De</w:t>
      </w:r>
      <w:r w:rsidR="00737232">
        <w:rPr>
          <w:rFonts w:eastAsia="Times New Roman" w:cs="Times New Roman"/>
          <w:szCs w:val="24"/>
          <w:lang w:eastAsia="de-DE"/>
        </w:rPr>
        <w:t>r</w:t>
      </w:r>
      <w:r w:rsidR="00140B30">
        <w:rPr>
          <w:rFonts w:eastAsia="Times New Roman" w:cs="Times New Roman"/>
          <w:szCs w:val="24"/>
          <w:lang w:eastAsia="de-DE"/>
        </w:rPr>
        <w:t xml:space="preserve"> familiäre Hintergrund der </w:t>
      </w:r>
      <w:r w:rsidR="00140B30" w:rsidRPr="009E2A77">
        <w:rPr>
          <w:rFonts w:eastAsia="Times New Roman" w:cs="Times New Roman"/>
          <w:szCs w:val="24"/>
          <w:lang w:eastAsia="de-DE"/>
        </w:rPr>
        <w:t>Nichtlandwirtschaftliche</w:t>
      </w:r>
      <w:r w:rsidR="00140B30">
        <w:rPr>
          <w:rFonts w:eastAsia="Times New Roman" w:cs="Times New Roman"/>
          <w:szCs w:val="24"/>
          <w:lang w:eastAsia="de-DE"/>
        </w:rPr>
        <w:t>n</w:t>
      </w:r>
      <w:r w:rsidR="00140B30" w:rsidRPr="009E2A77">
        <w:rPr>
          <w:rFonts w:eastAsia="Times New Roman" w:cs="Times New Roman"/>
          <w:szCs w:val="24"/>
          <w:lang w:eastAsia="de-DE"/>
        </w:rPr>
        <w:t xml:space="preserve"> Investoren</w:t>
      </w:r>
      <w:r w:rsidR="00737232">
        <w:rPr>
          <w:rFonts w:eastAsia="Times New Roman" w:cs="Times New Roman"/>
          <w:szCs w:val="24"/>
          <w:lang w:eastAsia="de-DE"/>
        </w:rPr>
        <w:t xml:space="preserve"> </w:t>
      </w:r>
      <w:r w:rsidR="00140B30">
        <w:rPr>
          <w:rFonts w:eastAsia="Times New Roman" w:cs="Times New Roman"/>
          <w:szCs w:val="24"/>
          <w:lang w:eastAsia="de-DE"/>
        </w:rPr>
        <w:t xml:space="preserve">wird </w:t>
      </w:r>
      <w:r w:rsidR="00737232">
        <w:rPr>
          <w:rFonts w:eastAsia="Times New Roman" w:cs="Times New Roman"/>
          <w:szCs w:val="24"/>
          <w:lang w:eastAsia="de-DE"/>
        </w:rPr>
        <w:t>nicht untersucht. Auf der Basis der Erfahrungen des Autors seit der Wende haben fast alle</w:t>
      </w:r>
      <w:r>
        <w:rPr>
          <w:rFonts w:eastAsia="Times New Roman" w:cs="Times New Roman"/>
          <w:szCs w:val="24"/>
          <w:lang w:eastAsia="de-DE"/>
        </w:rPr>
        <w:t xml:space="preserve"> sogenannte</w:t>
      </w:r>
      <w:r w:rsidR="00737232">
        <w:rPr>
          <w:rFonts w:eastAsia="Times New Roman" w:cs="Times New Roman"/>
          <w:szCs w:val="24"/>
          <w:lang w:eastAsia="de-DE"/>
        </w:rPr>
        <w:t xml:space="preserve">n Großinvestoren </w:t>
      </w:r>
      <w:r>
        <w:rPr>
          <w:rFonts w:eastAsia="Times New Roman" w:cs="Times New Roman"/>
          <w:szCs w:val="24"/>
          <w:lang w:eastAsia="de-DE"/>
        </w:rPr>
        <w:t xml:space="preserve">in der Familientradition </w:t>
      </w:r>
      <w:r w:rsidR="009630AA">
        <w:rPr>
          <w:rFonts w:eastAsia="Times New Roman" w:cs="Times New Roman"/>
          <w:szCs w:val="24"/>
          <w:lang w:eastAsia="de-DE"/>
        </w:rPr>
        <w:t xml:space="preserve">einen </w:t>
      </w:r>
      <w:r w:rsidR="00737232">
        <w:rPr>
          <w:rFonts w:eastAsia="Times New Roman" w:cs="Times New Roman"/>
          <w:szCs w:val="24"/>
          <w:lang w:eastAsia="de-DE"/>
        </w:rPr>
        <w:t xml:space="preserve">landwirtschaftlichen Hintergrund, der aus vielerlei Gründen </w:t>
      </w:r>
      <w:r w:rsidR="002B18A3">
        <w:rPr>
          <w:rFonts w:eastAsia="Times New Roman" w:cs="Times New Roman"/>
          <w:szCs w:val="24"/>
          <w:lang w:eastAsia="de-DE"/>
        </w:rPr>
        <w:t>abgebrochen</w:t>
      </w:r>
      <w:r w:rsidR="00B727FD">
        <w:rPr>
          <w:rFonts w:eastAsia="Times New Roman" w:cs="Times New Roman"/>
          <w:szCs w:val="24"/>
          <w:lang w:eastAsia="de-DE"/>
        </w:rPr>
        <w:t xml:space="preserve"> war. Die Investition</w:t>
      </w:r>
      <w:r w:rsidR="00737232">
        <w:rPr>
          <w:rFonts w:eastAsia="Times New Roman" w:cs="Times New Roman"/>
          <w:szCs w:val="24"/>
          <w:lang w:eastAsia="de-DE"/>
        </w:rPr>
        <w:t xml:space="preserve"> des ganzen oder eines </w:t>
      </w:r>
      <w:r w:rsidR="00B727FD">
        <w:rPr>
          <w:rFonts w:eastAsia="Times New Roman" w:cs="Times New Roman"/>
          <w:szCs w:val="24"/>
          <w:lang w:eastAsia="de-DE"/>
        </w:rPr>
        <w:t>Teils des</w:t>
      </w:r>
      <w:r w:rsidR="00737232">
        <w:rPr>
          <w:rFonts w:eastAsia="Times New Roman" w:cs="Times New Roman"/>
          <w:szCs w:val="24"/>
          <w:lang w:eastAsia="de-DE"/>
        </w:rPr>
        <w:t xml:space="preserve"> Vermögens bedeutet also eine </w:t>
      </w:r>
      <w:r w:rsidR="00B727FD">
        <w:rPr>
          <w:rFonts w:eastAsia="Times New Roman" w:cs="Times New Roman"/>
          <w:szCs w:val="24"/>
          <w:lang w:eastAsia="de-DE"/>
        </w:rPr>
        <w:t>Rückkehr</w:t>
      </w:r>
      <w:r w:rsidR="00737232">
        <w:rPr>
          <w:rFonts w:eastAsia="Times New Roman" w:cs="Times New Roman"/>
          <w:szCs w:val="24"/>
          <w:lang w:eastAsia="de-DE"/>
        </w:rPr>
        <w:t xml:space="preserve"> zu den landwirtschaftlichen Wurzeln der Familie.</w:t>
      </w:r>
      <w:r w:rsidR="00B727FD">
        <w:rPr>
          <w:rFonts w:eastAsia="Times New Roman" w:cs="Times New Roman"/>
          <w:szCs w:val="24"/>
          <w:lang w:eastAsia="de-DE"/>
        </w:rPr>
        <w:t xml:space="preserve"> </w:t>
      </w:r>
    </w:p>
    <w:p w:rsidR="00140B30" w:rsidRDefault="009630AA" w:rsidP="004A0326">
      <w:pPr>
        <w:spacing w:after="0" w:line="360" w:lineRule="auto"/>
        <w:rPr>
          <w:rFonts w:eastAsia="Times New Roman" w:cs="Times New Roman"/>
          <w:szCs w:val="24"/>
          <w:lang w:eastAsia="de-DE"/>
        </w:rPr>
      </w:pPr>
      <w:r>
        <w:rPr>
          <w:rFonts w:eastAsia="Times New Roman" w:cs="Times New Roman"/>
          <w:szCs w:val="24"/>
          <w:lang w:eastAsia="de-DE"/>
        </w:rPr>
        <w:t xml:space="preserve">Selten findet man </w:t>
      </w:r>
      <w:r w:rsidR="00140B30">
        <w:rPr>
          <w:rFonts w:eastAsia="Times New Roman" w:cs="Times New Roman"/>
          <w:szCs w:val="24"/>
          <w:lang w:eastAsia="de-DE"/>
        </w:rPr>
        <w:t>Parvenüs, die sich mal eben ein Landgut mit schickem Schlößchen oder Gutshaus gönnen.</w:t>
      </w:r>
    </w:p>
    <w:p w:rsidR="00F45E0C" w:rsidRDefault="00F45E0C" w:rsidP="004A0326">
      <w:pPr>
        <w:spacing w:after="0" w:line="360" w:lineRule="auto"/>
        <w:rPr>
          <w:rFonts w:eastAsia="Times New Roman" w:cs="Times New Roman"/>
          <w:szCs w:val="24"/>
          <w:lang w:eastAsia="de-DE"/>
        </w:rPr>
      </w:pPr>
      <w:r>
        <w:rPr>
          <w:rFonts w:eastAsia="Times New Roman" w:cs="Times New Roman"/>
          <w:szCs w:val="24"/>
          <w:lang w:eastAsia="de-DE"/>
        </w:rPr>
        <w:t>Diese vermeintlich nichtlandwirtschaftlichen Investoren bringen sich oft s</w:t>
      </w:r>
      <w:r w:rsidR="009630AA">
        <w:rPr>
          <w:rFonts w:eastAsia="Times New Roman" w:cs="Times New Roman"/>
          <w:szCs w:val="24"/>
          <w:lang w:eastAsia="de-DE"/>
        </w:rPr>
        <w:t>tärker in ihr Umfeld ein als lokale</w:t>
      </w:r>
      <w:r>
        <w:rPr>
          <w:rFonts w:eastAsia="Times New Roman" w:cs="Times New Roman"/>
          <w:szCs w:val="24"/>
          <w:lang w:eastAsia="de-DE"/>
        </w:rPr>
        <w:t xml:space="preserve"> Betriebe: </w:t>
      </w:r>
      <w:r w:rsidR="009E2A77">
        <w:rPr>
          <w:rFonts w:eastAsia="Times New Roman" w:cs="Times New Roman"/>
          <w:szCs w:val="24"/>
          <w:lang w:eastAsia="de-DE"/>
        </w:rPr>
        <w:t xml:space="preserve">Kirchen, </w:t>
      </w:r>
      <w:r>
        <w:rPr>
          <w:rFonts w:eastAsia="Times New Roman" w:cs="Times New Roman"/>
          <w:szCs w:val="24"/>
          <w:lang w:eastAsia="de-DE"/>
        </w:rPr>
        <w:t>Friedhöfe werden saniert und wieder geöffnet, Immobilien</w:t>
      </w:r>
      <w:r w:rsidR="009E2A77">
        <w:rPr>
          <w:rFonts w:eastAsia="Times New Roman" w:cs="Times New Roman"/>
          <w:szCs w:val="24"/>
          <w:lang w:eastAsia="de-DE"/>
        </w:rPr>
        <w:t xml:space="preserve"> und öffentliche Einrichtungen –</w:t>
      </w:r>
      <w:r>
        <w:rPr>
          <w:rFonts w:eastAsia="Times New Roman" w:cs="Times New Roman"/>
          <w:szCs w:val="24"/>
          <w:lang w:eastAsia="de-DE"/>
        </w:rPr>
        <w:t xml:space="preserve"> historische oder andere – werden saniert, </w:t>
      </w:r>
      <w:r w:rsidR="00140B30">
        <w:rPr>
          <w:rFonts w:eastAsia="Times New Roman" w:cs="Times New Roman"/>
          <w:szCs w:val="24"/>
          <w:lang w:eastAsia="de-DE"/>
        </w:rPr>
        <w:t xml:space="preserve">man nimmt aktiv </w:t>
      </w:r>
      <w:r>
        <w:rPr>
          <w:rFonts w:eastAsia="Times New Roman" w:cs="Times New Roman"/>
          <w:szCs w:val="24"/>
          <w:lang w:eastAsia="de-DE"/>
        </w:rPr>
        <w:t>an der lokalen Politik</w:t>
      </w:r>
      <w:r w:rsidR="00140B30">
        <w:rPr>
          <w:rFonts w:eastAsia="Times New Roman" w:cs="Times New Roman"/>
          <w:szCs w:val="24"/>
          <w:lang w:eastAsia="de-DE"/>
        </w:rPr>
        <w:t xml:space="preserve"> teil</w:t>
      </w:r>
      <w:r w:rsidR="009E2A77">
        <w:rPr>
          <w:rFonts w:eastAsia="Times New Roman" w:cs="Times New Roman"/>
          <w:szCs w:val="24"/>
          <w:lang w:eastAsia="de-DE"/>
        </w:rPr>
        <w:t>.</w:t>
      </w:r>
    </w:p>
    <w:p w:rsidR="009E2A77" w:rsidRDefault="009E2A77" w:rsidP="004A0326">
      <w:pPr>
        <w:spacing w:after="0" w:line="360" w:lineRule="auto"/>
      </w:pPr>
      <w:r>
        <w:rPr>
          <w:rFonts w:eastAsia="Times New Roman" w:cs="Times New Roman"/>
          <w:szCs w:val="24"/>
          <w:lang w:eastAsia="de-DE"/>
        </w:rPr>
        <w:t xml:space="preserve">Auf der Homepage der quasi landeseigenen </w:t>
      </w:r>
      <w:proofErr w:type="spellStart"/>
      <w:r>
        <w:t>LGE</w:t>
      </w:r>
      <w:proofErr w:type="spellEnd"/>
      <w:r>
        <w:t xml:space="preserve"> Mecklenburg-Vorpommern GmbH liest man im Zusammenhang mit der</w:t>
      </w:r>
      <w:r w:rsidR="00514352">
        <w:t xml:space="preserve"> Sanierung der Stadt Sternberg über das Engagement der</w:t>
      </w:r>
      <w:r>
        <w:t xml:space="preserve"> Unternehmerfamilie Rethmann, die einen historischen landwirtschaftlichen Hintergrund hat:</w:t>
      </w:r>
    </w:p>
    <w:p w:rsidR="009E2A77" w:rsidRDefault="009E2A77" w:rsidP="004A0326">
      <w:pPr>
        <w:pStyle w:val="StandardWeb"/>
        <w:spacing w:before="0" w:beforeAutospacing="0" w:after="0" w:afterAutospacing="0" w:line="360" w:lineRule="auto"/>
      </w:pPr>
      <w:r>
        <w:lastRenderedPageBreak/>
        <w:t>„Überraschend unterbreitete ein regionaler Unternehmer den Vorschlag, eine öffentlich-private Partnerschaft einzugehen. Im Jahr 2003 gründete die Stadt Sternberg mit Norbert Rethmann die Sternberger Immobiliengesellschaft. Ziel war es, die ungenutzten kommunalen Häuser zu sanieren und zu vermieten. Die Stadt Sternberg brachte in die Gesellschaft 16 Grundstücke als Sacheinlage ein und Norbert Rethmann eine Bareinlage in Höhe von 500.000 Euro.“</w:t>
      </w:r>
    </w:p>
    <w:p w:rsidR="009E2A77" w:rsidRDefault="00C02CB2" w:rsidP="004A0326">
      <w:pPr>
        <w:pStyle w:val="StandardWeb"/>
        <w:spacing w:before="0" w:beforeAutospacing="0" w:after="0" w:afterAutospacing="0" w:line="360" w:lineRule="auto"/>
      </w:pPr>
      <w:r>
        <w:t>Die politisch ungeliebten Investoren bringen zusätzlich noch mehr ein: Management-Know-how, qualifizierte Führungskräfte, Finanzmanagement, Unternehmenssanierung und Unternehmenswachstum, Diversifizierung – das alles bringt sichere und weitere Arbeitsplätze. Insgesamt: Beschäftigungsstabilität in der Region.</w:t>
      </w:r>
    </w:p>
    <w:p w:rsidR="00C02CB2" w:rsidRDefault="00C02CB2" w:rsidP="004A0326">
      <w:pPr>
        <w:pStyle w:val="StandardWeb"/>
        <w:spacing w:before="0" w:beforeAutospacing="0" w:after="0" w:afterAutospacing="0" w:line="360" w:lineRule="auto"/>
      </w:pPr>
      <w:r>
        <w:t>Und damit werden sie natürlich zu Wettbewerbern der weniger p</w:t>
      </w:r>
      <w:r w:rsidR="009630AA">
        <w:t>rofessionellen Betriebe. Ist es</w:t>
      </w:r>
      <w:r>
        <w:t xml:space="preserve"> verwerflich</w:t>
      </w:r>
      <w:r w:rsidR="009630AA">
        <w:t>, daß der Boden zum besten und nicht zum schlechtesten Wirt geht</w:t>
      </w:r>
      <w:r>
        <w:t>?</w:t>
      </w:r>
    </w:p>
    <w:p w:rsidR="00CD1478" w:rsidRDefault="00CD1478" w:rsidP="004A0326">
      <w:pPr>
        <w:pStyle w:val="StandardWeb"/>
        <w:spacing w:before="0" w:beforeAutospacing="0" w:after="0" w:afterAutospacing="0" w:line="360" w:lineRule="auto"/>
        <w:rPr>
          <w:b/>
        </w:rPr>
      </w:pPr>
    </w:p>
    <w:p w:rsidR="009630AA" w:rsidRDefault="009630AA" w:rsidP="009C4D9B">
      <w:pPr>
        <w:pStyle w:val="StandardWeb"/>
        <w:spacing w:before="0" w:beforeAutospacing="0" w:after="0" w:afterAutospacing="0" w:line="360" w:lineRule="auto"/>
        <w:rPr>
          <w:b/>
        </w:rPr>
      </w:pPr>
      <w:r>
        <w:rPr>
          <w:b/>
        </w:rPr>
        <w:t>Vision</w:t>
      </w:r>
    </w:p>
    <w:p w:rsidR="009630AA" w:rsidRDefault="009630AA" w:rsidP="00276AD7">
      <w:pPr>
        <w:pStyle w:val="StandardWeb"/>
        <w:spacing w:before="0" w:beforeAutospacing="0" w:after="0" w:afterAutospacing="0" w:line="360" w:lineRule="auto"/>
      </w:pPr>
      <w:r>
        <w:t>Die Direktzahlungen, insbesondere die flächenbezogenen</w:t>
      </w:r>
      <w:r w:rsidR="00276AD7">
        <w:t>,</w:t>
      </w:r>
      <w:r>
        <w:t xml:space="preserve"> bleiben nicht in den Unternehmensbilanzen hängen. Sie werden abgesaugt von</w:t>
      </w:r>
    </w:p>
    <w:p w:rsidR="009630AA" w:rsidRDefault="0081054E" w:rsidP="00276AD7">
      <w:pPr>
        <w:pStyle w:val="StandardWeb"/>
        <w:numPr>
          <w:ilvl w:val="0"/>
          <w:numId w:val="4"/>
        </w:numPr>
        <w:spacing w:before="0" w:beforeAutospacing="0" w:after="0" w:afterAutospacing="0" w:line="360" w:lineRule="auto"/>
      </w:pPr>
      <w:r>
        <w:t>Überhöhten P</w:t>
      </w:r>
      <w:r w:rsidR="009630AA">
        <w:t>achten</w:t>
      </w:r>
    </w:p>
    <w:p w:rsidR="009630AA" w:rsidRDefault="009630AA" w:rsidP="00276AD7">
      <w:pPr>
        <w:pStyle w:val="StandardWeb"/>
        <w:numPr>
          <w:ilvl w:val="0"/>
          <w:numId w:val="4"/>
        </w:numPr>
        <w:spacing w:before="0" w:beforeAutospacing="0" w:after="0" w:afterAutospacing="0" w:line="360" w:lineRule="auto"/>
      </w:pPr>
      <w:r>
        <w:t>Überhöhten Kaufpreisen</w:t>
      </w:r>
      <w:r w:rsidR="0081054E">
        <w:t xml:space="preserve"> von </w:t>
      </w:r>
      <w:proofErr w:type="spellStart"/>
      <w:r w:rsidR="0081054E">
        <w:t>LN</w:t>
      </w:r>
      <w:proofErr w:type="spellEnd"/>
    </w:p>
    <w:p w:rsidR="00276AD7" w:rsidRDefault="009C4D9B" w:rsidP="0081054E">
      <w:pPr>
        <w:pStyle w:val="StandardWeb"/>
        <w:numPr>
          <w:ilvl w:val="0"/>
          <w:numId w:val="4"/>
        </w:numPr>
        <w:spacing w:before="0" w:beforeAutospacing="0" w:after="0" w:afterAutospacing="0" w:line="360" w:lineRule="auto"/>
      </w:pPr>
      <w:r>
        <w:t>Günstigen Nahrungsmitteln – das ist übrigens eine Verbrauchersubvention mit der Gießkanne</w:t>
      </w:r>
      <w:r w:rsidR="00276AD7">
        <w:t>, ein ordnungspolitisches Sakrileg</w:t>
      </w:r>
    </w:p>
    <w:p w:rsidR="00276AD7" w:rsidRPr="00276AD7" w:rsidRDefault="00276AD7" w:rsidP="0081054E">
      <w:pPr>
        <w:pStyle w:val="StandardWeb"/>
        <w:spacing w:before="0" w:beforeAutospacing="0" w:after="0" w:afterAutospacing="0" w:line="360" w:lineRule="auto"/>
        <w:ind w:left="426"/>
      </w:pPr>
      <w:r>
        <w:t>Betrug 1960 der</w:t>
      </w:r>
      <w:r w:rsidRPr="00276AD7">
        <w:t xml:space="preserve"> </w:t>
      </w:r>
      <w:r w:rsidRPr="00276AD7">
        <w:rPr>
          <w:bCs/>
        </w:rPr>
        <w:t xml:space="preserve">Anteil der Ausgaben der privaten Haushalte in Deutschland für Nahrungsmittel, Getränke und Tabakwaren an den Konsumausgaben </w:t>
      </w:r>
      <w:r>
        <w:rPr>
          <w:bCs/>
        </w:rPr>
        <w:t xml:space="preserve">noch 25 %, so sank er bis 2017 auf 13,9 % - </w:t>
      </w:r>
      <w:r w:rsidR="0081054E">
        <w:rPr>
          <w:bCs/>
        </w:rPr>
        <w:t>dank der Verbrauchersubvention mit der Gießkanne.</w:t>
      </w:r>
    </w:p>
    <w:p w:rsidR="00276AD7" w:rsidRDefault="0081054E" w:rsidP="00276AD7">
      <w:pPr>
        <w:pStyle w:val="StandardWeb"/>
        <w:spacing w:before="0" w:beforeAutospacing="0" w:after="0" w:afterAutospacing="0" w:line="360" w:lineRule="auto"/>
      </w:pPr>
      <w:r>
        <w:t>Konsequenz:</w:t>
      </w:r>
    </w:p>
    <w:p w:rsidR="0081054E" w:rsidRDefault="009C4D9B" w:rsidP="0081054E">
      <w:pPr>
        <w:pStyle w:val="StandardWeb"/>
        <w:numPr>
          <w:ilvl w:val="0"/>
          <w:numId w:val="5"/>
        </w:numPr>
        <w:spacing w:before="0" w:beforeAutospacing="0" w:after="0" w:afterAutospacing="0" w:line="360" w:lineRule="auto"/>
      </w:pPr>
      <w:r>
        <w:t xml:space="preserve">Alle Direktzahlungen werden abgeschafft. </w:t>
      </w:r>
    </w:p>
    <w:p w:rsidR="0081054E" w:rsidRDefault="009C4D9B" w:rsidP="0081054E">
      <w:pPr>
        <w:pStyle w:val="StandardWeb"/>
        <w:numPr>
          <w:ilvl w:val="0"/>
          <w:numId w:val="5"/>
        </w:numPr>
        <w:spacing w:before="0" w:beforeAutospacing="0" w:after="0" w:afterAutospacing="0" w:line="360" w:lineRule="auto"/>
      </w:pPr>
      <w:r>
        <w:t xml:space="preserve">Landwirte verkauften kostenorientiert. </w:t>
      </w:r>
    </w:p>
    <w:p w:rsidR="009C4D9B" w:rsidRDefault="009C4D9B" w:rsidP="0081054E">
      <w:pPr>
        <w:pStyle w:val="StandardWeb"/>
        <w:numPr>
          <w:ilvl w:val="0"/>
          <w:numId w:val="5"/>
        </w:numPr>
        <w:spacing w:before="0" w:beforeAutospacing="0" w:after="0" w:afterAutospacing="0" w:line="360" w:lineRule="auto"/>
      </w:pPr>
      <w:r>
        <w:t xml:space="preserve">Zur Kompensation steigender Nahrungsmittelpreise gibt es für die bekannten Bedürftigen Lebensmittelzuschüsse. </w:t>
      </w:r>
    </w:p>
    <w:p w:rsidR="00276AD7" w:rsidRDefault="0081054E" w:rsidP="0081054E">
      <w:pPr>
        <w:pStyle w:val="Listenabsatz"/>
        <w:numPr>
          <w:ilvl w:val="0"/>
          <w:numId w:val="5"/>
        </w:numPr>
        <w:spacing w:after="0" w:line="360" w:lineRule="auto"/>
        <w:rPr>
          <w:rFonts w:eastAsia="Times New Roman" w:cs="Times New Roman"/>
          <w:szCs w:val="24"/>
          <w:lang w:eastAsia="de-DE"/>
        </w:rPr>
      </w:pPr>
      <w:r>
        <w:rPr>
          <w:rFonts w:eastAsia="Times New Roman" w:cs="Times New Roman"/>
          <w:szCs w:val="24"/>
          <w:lang w:eastAsia="de-DE"/>
        </w:rPr>
        <w:t>Der Haushalt der EU und des Bundes schrumpft. In 2017 entfiel r</w:t>
      </w:r>
      <w:r w:rsidR="00276AD7" w:rsidRPr="0081054E">
        <w:rPr>
          <w:rFonts w:eastAsia="Times New Roman" w:cs="Times New Roman"/>
          <w:szCs w:val="24"/>
          <w:lang w:eastAsia="de-DE"/>
        </w:rPr>
        <w:t xml:space="preserve">und 30 % </w:t>
      </w:r>
      <w:r>
        <w:rPr>
          <w:rFonts w:eastAsia="Times New Roman" w:cs="Times New Roman"/>
          <w:szCs w:val="24"/>
          <w:lang w:eastAsia="de-DE"/>
        </w:rPr>
        <w:t xml:space="preserve">des EU-Haushalts </w:t>
      </w:r>
      <w:r w:rsidR="00276AD7" w:rsidRPr="0081054E">
        <w:rPr>
          <w:rFonts w:eastAsia="Times New Roman" w:cs="Times New Roman"/>
          <w:szCs w:val="24"/>
          <w:lang w:eastAsia="de-DE"/>
        </w:rPr>
        <w:t>auf agrarmarktbezogene Ausgaben und Direktzahlungen – die könnten entfallen. Analoge Zahlungen des Bundes auch.</w:t>
      </w:r>
    </w:p>
    <w:p w:rsidR="0081054E" w:rsidRPr="0081054E" w:rsidRDefault="0081054E" w:rsidP="0081054E">
      <w:pPr>
        <w:spacing w:after="0" w:line="360" w:lineRule="auto"/>
        <w:rPr>
          <w:rFonts w:eastAsia="Times New Roman" w:cs="Times New Roman"/>
          <w:szCs w:val="24"/>
          <w:lang w:eastAsia="de-DE"/>
        </w:rPr>
      </w:pPr>
      <w:r>
        <w:rPr>
          <w:rFonts w:eastAsia="Times New Roman" w:cs="Times New Roman"/>
          <w:szCs w:val="24"/>
          <w:lang w:eastAsia="de-DE"/>
        </w:rPr>
        <w:t xml:space="preserve">Die ach so gescholtenen Großbetreibe sind in der Lage, mit dem kostenorientierten Verkauf ihrer Produkte zu leben. Für kleinere Betrieb muß das kein Aus bedeuten, soweit sie sich </w:t>
      </w:r>
      <w:r>
        <w:rPr>
          <w:rFonts w:eastAsia="Times New Roman" w:cs="Times New Roman"/>
          <w:szCs w:val="24"/>
          <w:lang w:eastAsia="de-DE"/>
        </w:rPr>
        <w:lastRenderedPageBreak/>
        <w:t xml:space="preserve">stärker auf Nischen und Marktlücken spezialisieren – sie müssen sich vom </w:t>
      </w:r>
      <w:proofErr w:type="spellStart"/>
      <w:r>
        <w:rPr>
          <w:rFonts w:eastAsia="Times New Roman" w:cs="Times New Roman"/>
          <w:szCs w:val="24"/>
          <w:lang w:eastAsia="de-DE"/>
        </w:rPr>
        <w:t>Ablieferer</w:t>
      </w:r>
      <w:proofErr w:type="spellEnd"/>
      <w:r>
        <w:rPr>
          <w:rFonts w:eastAsia="Times New Roman" w:cs="Times New Roman"/>
          <w:szCs w:val="24"/>
          <w:lang w:eastAsia="de-DE"/>
        </w:rPr>
        <w:t xml:space="preserve"> zum Vermarkter wandeln.</w:t>
      </w:r>
    </w:p>
    <w:p w:rsidR="004A0326" w:rsidRPr="004A0326" w:rsidRDefault="004A0326" w:rsidP="009C4D9B">
      <w:pPr>
        <w:spacing w:after="0" w:line="360" w:lineRule="auto"/>
        <w:rPr>
          <w:i/>
        </w:rPr>
      </w:pPr>
    </w:p>
    <w:p w:rsidR="00140B30" w:rsidRPr="00140B30" w:rsidRDefault="00140B30" w:rsidP="004A0326">
      <w:pPr>
        <w:pStyle w:val="StandardWeb"/>
        <w:spacing w:before="0" w:beforeAutospacing="0" w:after="0" w:afterAutospacing="0" w:line="360" w:lineRule="auto"/>
        <w:rPr>
          <w:b/>
        </w:rPr>
      </w:pPr>
      <w:r w:rsidRPr="00140B30">
        <w:rPr>
          <w:b/>
        </w:rPr>
        <w:t>Land-</w:t>
      </w:r>
      <w:proofErr w:type="spellStart"/>
      <w:r w:rsidRPr="00140B30">
        <w:rPr>
          <w:b/>
        </w:rPr>
        <w:t>Grabbing</w:t>
      </w:r>
      <w:proofErr w:type="spellEnd"/>
      <w:r w:rsidR="00514352">
        <w:rPr>
          <w:b/>
        </w:rPr>
        <w:t xml:space="preserve"> und seine Folgen</w:t>
      </w:r>
    </w:p>
    <w:p w:rsidR="00C02CB2" w:rsidRPr="004833A2" w:rsidRDefault="00C02CB2" w:rsidP="004A0326">
      <w:pPr>
        <w:pStyle w:val="StandardWeb"/>
        <w:spacing w:before="0" w:beforeAutospacing="0" w:after="0" w:afterAutospacing="0" w:line="360" w:lineRule="auto"/>
      </w:pPr>
      <w:r>
        <w:t>Eine weiter</w:t>
      </w:r>
      <w:r w:rsidR="00964B6A">
        <w:t>e</w:t>
      </w:r>
      <w:r>
        <w:t xml:space="preserve"> Investorengruppe </w:t>
      </w:r>
      <w:r w:rsidR="00495973">
        <w:t>dominiert</w:t>
      </w:r>
      <w:r w:rsidR="00B727FD">
        <w:t xml:space="preserve"> di</w:t>
      </w:r>
      <w:r w:rsidR="00495973">
        <w:t>e politische Diskussion. Sie wird</w:t>
      </w:r>
      <w:r w:rsidR="00B727FD">
        <w:t xml:space="preserve"> </w:t>
      </w:r>
      <w:r w:rsidR="004833A2">
        <w:t>politisiert mit</w:t>
      </w:r>
      <w:r w:rsidR="00B727FD" w:rsidRPr="004833A2">
        <w:t xml:space="preserve"> dem Begriff </w:t>
      </w:r>
      <w:r w:rsidR="00F61ABD" w:rsidRPr="004833A2">
        <w:t>Land</w:t>
      </w:r>
      <w:r w:rsidRPr="004833A2">
        <w:t>-</w:t>
      </w:r>
      <w:proofErr w:type="spellStart"/>
      <w:r w:rsidRPr="004833A2">
        <w:t>G</w:t>
      </w:r>
      <w:r w:rsidR="00E05CA6" w:rsidRPr="004833A2">
        <w:t>rabbing</w:t>
      </w:r>
      <w:proofErr w:type="spellEnd"/>
      <w:r w:rsidRPr="004833A2">
        <w:t>.</w:t>
      </w:r>
      <w:r w:rsidR="00514352">
        <w:t xml:space="preserve"> Der B</w:t>
      </w:r>
      <w:r w:rsidR="00495973">
        <w:t>egriff</w:t>
      </w:r>
      <w:r w:rsidR="004833A2" w:rsidRPr="004833A2">
        <w:t xml:space="preserve"> ist</w:t>
      </w:r>
      <w:r w:rsidR="004833A2">
        <w:t xml:space="preserve"> mißverst</w:t>
      </w:r>
      <w:r w:rsidR="004833A2" w:rsidRPr="004833A2">
        <w:t xml:space="preserve">ändlich, denn nach </w:t>
      </w:r>
      <w:proofErr w:type="spellStart"/>
      <w:r w:rsidR="004833A2" w:rsidRPr="004833A2">
        <w:t>Wikipedi</w:t>
      </w:r>
      <w:proofErr w:type="spellEnd"/>
      <w:r w:rsidR="004833A2" w:rsidRPr="004833A2">
        <w:t xml:space="preserve"> versteht man darunter die (teilweise illegitime oder illegale) </w:t>
      </w:r>
      <w:hyperlink r:id="rId6" w:tooltip="Aneignung" w:history="1">
        <w:r w:rsidR="004833A2" w:rsidRPr="004833A2">
          <w:rPr>
            <w:rStyle w:val="Hyperlink"/>
            <w:color w:val="auto"/>
            <w:u w:val="none"/>
          </w:rPr>
          <w:t>Aneignung</w:t>
        </w:r>
      </w:hyperlink>
      <w:r w:rsidR="004833A2" w:rsidRPr="004833A2">
        <w:t xml:space="preserve"> von Land, insbesondere </w:t>
      </w:r>
      <w:hyperlink r:id="rId7" w:tooltip="Agrarfläche" w:history="1">
        <w:r w:rsidR="004833A2" w:rsidRPr="004833A2">
          <w:rPr>
            <w:rStyle w:val="Hyperlink"/>
            <w:color w:val="auto"/>
            <w:u w:val="none"/>
          </w:rPr>
          <w:t>Agrarfläche</w:t>
        </w:r>
      </w:hyperlink>
      <w:r w:rsidR="004833A2" w:rsidRPr="004833A2">
        <w:t xml:space="preserve"> oder agrarisch nutzbare Flächen, oft durch wirtschaftlich oder politisch durchsetzungsstarke Akteure.</w:t>
      </w:r>
    </w:p>
    <w:p w:rsidR="00CD1478" w:rsidRDefault="00CB5521" w:rsidP="004A0326">
      <w:pPr>
        <w:pStyle w:val="StandardWeb"/>
        <w:spacing w:before="0" w:beforeAutospacing="0" w:after="0" w:afterAutospacing="0" w:line="360" w:lineRule="auto"/>
      </w:pPr>
      <w:r>
        <w:t>Zunächst einmal: Land-</w:t>
      </w:r>
      <w:proofErr w:type="spellStart"/>
      <w:r>
        <w:t>Grabbing</w:t>
      </w:r>
      <w:proofErr w:type="spellEnd"/>
      <w:r>
        <w:t xml:space="preserve"> </w:t>
      </w:r>
      <w:r w:rsidR="0081054E">
        <w:t xml:space="preserve">(um bei dem Begriff zu bleiben) </w:t>
      </w:r>
      <w:r w:rsidR="00E05CA6">
        <w:t>findet durch die wirtschaftenden Agrarunternehmen statt</w:t>
      </w:r>
      <w:r w:rsidR="00CD1478">
        <w:t xml:space="preserve"> – unabhängig davon, ob sie durch LPG-Umwandlung oder Neugründung entstanden sind. Sie saugen sich sozusagen voll mit Eigentumsland</w:t>
      </w:r>
      <w:r w:rsidR="00E05CA6">
        <w:t xml:space="preserve">. </w:t>
      </w:r>
      <w:r>
        <w:t xml:space="preserve">Und die preistreibenden Ausschreibungen der </w:t>
      </w:r>
      <w:proofErr w:type="spellStart"/>
      <w:r>
        <w:t>BVVG</w:t>
      </w:r>
      <w:proofErr w:type="spellEnd"/>
      <w:r>
        <w:t xml:space="preserve"> sind Einladungen an</w:t>
      </w:r>
      <w:r w:rsidR="00CD1478">
        <w:t xml:space="preserve"> Land-</w:t>
      </w:r>
      <w:proofErr w:type="spellStart"/>
      <w:r w:rsidR="00CD1478">
        <w:t>Grabber</w:t>
      </w:r>
      <w:proofErr w:type="spellEnd"/>
      <w:r w:rsidR="00CD1478">
        <w:t xml:space="preserve"> mit den höchsten G</w:t>
      </w:r>
      <w:r>
        <w:t>eboten</w:t>
      </w:r>
      <w:r w:rsidR="00CD1478">
        <w:t>.</w:t>
      </w:r>
    </w:p>
    <w:p w:rsidR="00E05CA6" w:rsidRDefault="00CD1478" w:rsidP="004A0326">
      <w:pPr>
        <w:pStyle w:val="StandardWeb"/>
        <w:spacing w:before="0" w:beforeAutospacing="0" w:after="0" w:afterAutospacing="0" w:line="360" w:lineRule="auto"/>
      </w:pPr>
      <w:r>
        <w:t xml:space="preserve">Dieses Vollsaugen mit Land hat fatale Folgen: </w:t>
      </w:r>
      <w:r w:rsidR="00E05CA6">
        <w:t>Wer eine Betriebsfläche von z.B. 1.500 ha, davon 40 oder 50 % Eigentumsflächen hat, hat alle</w:t>
      </w:r>
      <w:r w:rsidR="00CB5521">
        <w:t xml:space="preserve">in unter Berücksichtigung des </w:t>
      </w:r>
      <w:r>
        <w:t>Substanz</w:t>
      </w:r>
      <w:r w:rsidR="00E05CA6">
        <w:t xml:space="preserve">wertes einen </w:t>
      </w:r>
      <w:r w:rsidR="00CB5521">
        <w:t>Marktwert</w:t>
      </w:r>
      <w:r w:rsidR="00E05CA6">
        <w:t xml:space="preserve"> von </w:t>
      </w:r>
      <w:r w:rsidR="006E0B91">
        <w:t>15 bis 25</w:t>
      </w:r>
      <w:r>
        <w:t xml:space="preserve"> </w:t>
      </w:r>
      <w:proofErr w:type="spellStart"/>
      <w:r>
        <w:t>Mio</w:t>
      </w:r>
      <w:proofErr w:type="spellEnd"/>
      <w:r w:rsidR="00CB5521">
        <w:t xml:space="preserve"> € -</w:t>
      </w:r>
      <w:r w:rsidR="00E05CA6">
        <w:t xml:space="preserve"> den kann kein normaler Landwirt, auch wenn er als sogenannter Planungsverdrängter </w:t>
      </w:r>
      <w:r w:rsidR="00CB5521">
        <w:t>in erheblichem Umfang</w:t>
      </w:r>
      <w:r w:rsidR="00E05CA6">
        <w:t xml:space="preserve"> </w:t>
      </w:r>
      <w:proofErr w:type="spellStart"/>
      <w:r w:rsidR="00E05CA6">
        <w:t>6b</w:t>
      </w:r>
      <w:proofErr w:type="spellEnd"/>
      <w:r w:rsidR="00E05CA6">
        <w:t>-Rücklagen</w:t>
      </w:r>
      <w:r w:rsidR="00CB5521">
        <w:t xml:space="preserve"> hat</w:t>
      </w:r>
      <w:r w:rsidR="006E0B91">
        <w:t>,</w:t>
      </w:r>
      <w:r w:rsidR="00CB5521">
        <w:t xml:space="preserve"> </w:t>
      </w:r>
      <w:r w:rsidR="00E05CA6">
        <w:t>bezahlen. Auch die Abfindung ausscheidender Gesellschafter von Kapital-</w:t>
      </w:r>
      <w:r w:rsidR="00514352">
        <w:t xml:space="preserve"> </w:t>
      </w:r>
      <w:r w:rsidR="00E05CA6">
        <w:t xml:space="preserve">oder Personalgesellschaften </w:t>
      </w:r>
      <w:r w:rsidR="00CB5521">
        <w:t>ist bei diesen Werten</w:t>
      </w:r>
      <w:r w:rsidR="00E05CA6">
        <w:t xml:space="preserve"> nicht mehr bezahlbar.</w:t>
      </w:r>
      <w:r w:rsidR="00BB5E79">
        <w:t xml:space="preserve"> Wer also kommt als Käufer in Betracht? </w:t>
      </w:r>
    </w:p>
    <w:p w:rsidR="00E05CA6" w:rsidRDefault="006E0B91" w:rsidP="004A0326">
      <w:pPr>
        <w:spacing w:after="0" w:line="360" w:lineRule="auto"/>
      </w:pPr>
      <w:r>
        <w:t>Extrem wird dieses Problem bei Agrargenosse</w:t>
      </w:r>
      <w:r w:rsidR="00E05CA6">
        <w:t>n</w:t>
      </w:r>
      <w:r>
        <w:t>s</w:t>
      </w:r>
      <w:r w:rsidR="00E05CA6">
        <w:t>chaften: Das Mitglied</w:t>
      </w:r>
      <w:r>
        <w:t>, das durch Kündigung</w:t>
      </w:r>
      <w:r w:rsidR="00514352">
        <w:t xml:space="preserve"> oder Altersgründen</w:t>
      </w:r>
      <w:r>
        <w:t xml:space="preserve"> ausscheidet</w:t>
      </w:r>
      <w:r w:rsidR="00BB5E79">
        <w:t>,</w:t>
      </w:r>
      <w:r w:rsidR="00E05CA6">
        <w:t xml:space="preserve"> verläßt arm die Genossenschaft, obwohl </w:t>
      </w:r>
      <w:r w:rsidR="00817CA6">
        <w:t xml:space="preserve">sich die Genossenschaft </w:t>
      </w:r>
      <w:r w:rsidR="00E05CA6">
        <w:t xml:space="preserve">mit den erwirtschaften Gewinnen, die eben nicht an ihn ausgeschüttet wurden, </w:t>
      </w:r>
      <w:r w:rsidR="00817CA6">
        <w:t xml:space="preserve">also </w:t>
      </w:r>
      <w:r>
        <w:t xml:space="preserve">eigentlich </w:t>
      </w:r>
      <w:r w:rsidR="00817CA6">
        <w:t>mit seinem Geld, mit Land vollgesogen hat.</w:t>
      </w:r>
    </w:p>
    <w:p w:rsidR="006E0B91" w:rsidRDefault="006E0B91" w:rsidP="004A0326">
      <w:pPr>
        <w:spacing w:after="0" w:line="360" w:lineRule="auto"/>
      </w:pPr>
      <w:r>
        <w:t>Nach Berechnung des</w:t>
      </w:r>
      <w:r w:rsidR="00BB5E79">
        <w:t xml:space="preserve"> Mecklenburger Bauernverbands wurde </w:t>
      </w:r>
      <w:r>
        <w:t>bei der Sozialversicherung seit der Wende ein Rentenanrecht von 250 - 28</w:t>
      </w:r>
      <w:r w:rsidR="00421318">
        <w:t>0 €</w:t>
      </w:r>
      <w:r w:rsidR="00BB5E79">
        <w:t xml:space="preserve"> erworben</w:t>
      </w:r>
      <w:r w:rsidR="00421318">
        <w:t>. Wer unter diesen Bedingungen</w:t>
      </w:r>
      <w:r>
        <w:t xml:space="preserve"> eine zweite Rente </w:t>
      </w:r>
      <w:r w:rsidR="00421318">
        <w:t xml:space="preserve">durch Verkauf </w:t>
      </w:r>
      <w:r>
        <w:t>haben will, ist zu verstehen. Das geht aber nur, wenn die Genossenschaft komplett verkauft wird. Da die Rechtsform der Genossenschaft in bezug auf das Stimmrecht egalitär ist, kann ein Vorstand schnell überstimmt werden, so wie das der Fall der Agrargenossenschaft bei Rostock war, den Minister Backhaus dann als „Manchesterkapitalismus in Reinkultur“ abkanzelte.</w:t>
      </w:r>
    </w:p>
    <w:p w:rsidR="00421318" w:rsidRDefault="00421318" w:rsidP="004A0326">
      <w:pPr>
        <w:spacing w:after="0" w:line="360" w:lineRule="auto"/>
      </w:pPr>
      <w:r>
        <w:t>Übrigen ist der</w:t>
      </w:r>
      <w:r w:rsidR="004833A2">
        <w:t xml:space="preserve"> </w:t>
      </w:r>
      <w:r>
        <w:t xml:space="preserve">Verkauf von Agrargenossenschaften </w:t>
      </w:r>
      <w:r w:rsidR="004833A2">
        <w:t xml:space="preserve">gegen Höchstgebot </w:t>
      </w:r>
      <w:r>
        <w:t>zu einem Geschäftszweig des großen Genossenschaftsverbands geworden.</w:t>
      </w:r>
    </w:p>
    <w:p w:rsidR="006E0B91" w:rsidRDefault="006E0B91" w:rsidP="004A0326">
      <w:pPr>
        <w:spacing w:after="0" w:line="360" w:lineRule="auto"/>
      </w:pPr>
    </w:p>
    <w:p w:rsidR="00514352" w:rsidRPr="00514352" w:rsidRDefault="00514352" w:rsidP="004A0326">
      <w:pPr>
        <w:spacing w:after="0" w:line="360" w:lineRule="auto"/>
        <w:rPr>
          <w:b/>
        </w:rPr>
      </w:pPr>
      <w:r>
        <w:rPr>
          <w:b/>
        </w:rPr>
        <w:t>Intelligente Lösungen wurden verschlafen</w:t>
      </w:r>
    </w:p>
    <w:p w:rsidR="00817CA6" w:rsidRDefault="007E1179" w:rsidP="004A0326">
      <w:pPr>
        <w:spacing w:after="0" w:line="360" w:lineRule="auto"/>
      </w:pPr>
      <w:r>
        <w:t>B</w:t>
      </w:r>
      <w:r w:rsidR="00421318">
        <w:t xml:space="preserve">is zur </w:t>
      </w:r>
      <w:r w:rsidR="000766AF">
        <w:t xml:space="preserve">jetzigen </w:t>
      </w:r>
      <w:r w:rsidR="00421318">
        <w:t>Unbezahlbarkeit ganzer Betriebe für den „normalen“ Landwirt bzw. der Abfindung ausscheidender Gesellschafter hätte es nicht kommen müsse</w:t>
      </w:r>
      <w:r w:rsidR="004833A2">
        <w:t>n</w:t>
      </w:r>
      <w:r w:rsidR="00421318">
        <w:t xml:space="preserve">. </w:t>
      </w:r>
      <w:r w:rsidR="00817CA6">
        <w:t xml:space="preserve">Intelligentere </w:t>
      </w:r>
      <w:r w:rsidR="008B3347">
        <w:t>Lösungen</w:t>
      </w:r>
      <w:r w:rsidR="00817CA6">
        <w:t xml:space="preserve"> wären </w:t>
      </w:r>
      <w:r w:rsidR="008B3347">
        <w:t xml:space="preserve">jetzt und früher </w:t>
      </w:r>
      <w:r w:rsidR="000766AF">
        <w:t>möglich,</w:t>
      </w:r>
      <w:r w:rsidR="00817CA6">
        <w:t xml:space="preserve"> wären Vorstände und </w:t>
      </w:r>
      <w:r w:rsidR="008B3347">
        <w:t>Geschäftsführer</w:t>
      </w:r>
      <w:r w:rsidR="00817CA6">
        <w:t xml:space="preserve"> nicht ber</w:t>
      </w:r>
      <w:r w:rsidR="008B3347">
        <w:t>at</w:t>
      </w:r>
      <w:r w:rsidR="00817CA6">
        <w:t>ungs</w:t>
      </w:r>
      <w:r w:rsidR="008B3347">
        <w:t>resistent</w:t>
      </w:r>
    </w:p>
    <w:p w:rsidR="00E05CA6" w:rsidRDefault="000766AF" w:rsidP="004A0326">
      <w:pPr>
        <w:spacing w:after="0" w:line="360" w:lineRule="auto"/>
      </w:pPr>
      <w:r>
        <w:t xml:space="preserve">Um den Produktionsfaktor Land zu sichern, gibt es öfters eine </w:t>
      </w:r>
      <w:r w:rsidR="00E05CA6">
        <w:t>Zusammenarbeit</w:t>
      </w:r>
      <w:r w:rsidR="008B3347">
        <w:t xml:space="preserve"> mit</w:t>
      </w:r>
      <w:r w:rsidR="00E05CA6">
        <w:t xml:space="preserve"> Kapitalanlagern in Land</w:t>
      </w:r>
      <w:r w:rsidR="007E1179">
        <w:t xml:space="preserve"> – als</w:t>
      </w:r>
      <w:r>
        <w:t>o vermeintlichen</w:t>
      </w:r>
      <w:r w:rsidR="007E1179">
        <w:t xml:space="preserve"> Land-</w:t>
      </w:r>
      <w:proofErr w:type="spellStart"/>
      <w:r w:rsidR="007E1179">
        <w:t>Grabbern</w:t>
      </w:r>
      <w:proofErr w:type="spellEnd"/>
      <w:r>
        <w:t>. Das hat</w:t>
      </w:r>
      <w:r w:rsidR="008B3347">
        <w:t xml:space="preserve"> </w:t>
      </w:r>
      <w:r w:rsidR="00E05CA6">
        <w:t>drei positive Effekte:</w:t>
      </w:r>
    </w:p>
    <w:p w:rsidR="00E05CA6" w:rsidRDefault="004A0326" w:rsidP="004A0326">
      <w:pPr>
        <w:pStyle w:val="Listenabsatz"/>
        <w:numPr>
          <w:ilvl w:val="0"/>
          <w:numId w:val="2"/>
        </w:numPr>
        <w:spacing w:after="0" w:line="360" w:lineRule="auto"/>
        <w:jc w:val="both"/>
      </w:pPr>
      <w:r>
        <w:t xml:space="preserve">Der Produktionsfaktor </w:t>
      </w:r>
      <w:r w:rsidR="00E05CA6">
        <w:t>wird durch langfristige Pachtverträge gesichert</w:t>
      </w:r>
    </w:p>
    <w:p w:rsidR="00E05CA6" w:rsidRDefault="004A0326" w:rsidP="004A0326">
      <w:pPr>
        <w:pStyle w:val="Listenabsatz"/>
        <w:numPr>
          <w:ilvl w:val="0"/>
          <w:numId w:val="2"/>
        </w:numPr>
        <w:spacing w:after="0" w:line="360" w:lineRule="auto"/>
        <w:jc w:val="both"/>
      </w:pPr>
      <w:r>
        <w:t>Ausschüttung der Unternehmensgewinne</w:t>
      </w:r>
      <w:r w:rsidR="00E05CA6">
        <w:t xml:space="preserve"> an die Mitglieder statt Reinvestition in </w:t>
      </w:r>
      <w:proofErr w:type="spellStart"/>
      <w:r w:rsidR="00E05CA6">
        <w:t>LN</w:t>
      </w:r>
      <w:proofErr w:type="spellEnd"/>
    </w:p>
    <w:p w:rsidR="00E05CA6" w:rsidRDefault="00E05CA6" w:rsidP="004A0326">
      <w:pPr>
        <w:pStyle w:val="Listenabsatz"/>
        <w:numPr>
          <w:ilvl w:val="0"/>
          <w:numId w:val="2"/>
        </w:numPr>
        <w:spacing w:after="0" w:line="360" w:lineRule="auto"/>
        <w:jc w:val="both"/>
      </w:pPr>
      <w:r>
        <w:t xml:space="preserve">Im Verkaufsfall und bei Ausscheiden gegen Abfindung sind die Betrieb nicht mit Eigentumsland vollgesogen und alles bleibt </w:t>
      </w:r>
      <w:r w:rsidR="007E1179">
        <w:t>bezahlbar</w:t>
      </w:r>
    </w:p>
    <w:p w:rsidR="00817CA6" w:rsidRDefault="00817CA6" w:rsidP="004A0326">
      <w:pPr>
        <w:spacing w:after="0" w:line="360" w:lineRule="auto"/>
        <w:jc w:val="both"/>
      </w:pPr>
      <w:r>
        <w:t xml:space="preserve">Natürlich muß ein Betrieb nicht vollkommen ohne Eigentumsland auskommen – </w:t>
      </w:r>
      <w:r w:rsidR="008B3347">
        <w:t>aber</w:t>
      </w:r>
      <w:r>
        <w:t xml:space="preserve"> </w:t>
      </w:r>
      <w:r w:rsidR="004A0326">
        <w:t xml:space="preserve">auch </w:t>
      </w:r>
      <w:r>
        <w:t xml:space="preserve">dafür gibt es intelligente </w:t>
      </w:r>
      <w:r w:rsidR="008B3347">
        <w:t>Strategien</w:t>
      </w:r>
      <w:r>
        <w:t>.</w:t>
      </w:r>
    </w:p>
    <w:p w:rsidR="00B94A3E" w:rsidRDefault="00B94A3E" w:rsidP="004A0326">
      <w:pPr>
        <w:spacing w:after="0" w:line="360" w:lineRule="auto"/>
        <w:jc w:val="both"/>
      </w:pPr>
    </w:p>
    <w:p w:rsidR="002E4628" w:rsidRDefault="004A0326" w:rsidP="004A0326">
      <w:pPr>
        <w:spacing w:after="0" w:line="360" w:lineRule="auto"/>
        <w:jc w:val="both"/>
      </w:pPr>
      <w:r>
        <w:t xml:space="preserve">Eine letzte Bemerkung zur Minister Backhaus Bemerkung </w:t>
      </w:r>
      <w:proofErr w:type="gramStart"/>
      <w:r>
        <w:t>„ der</w:t>
      </w:r>
      <w:proofErr w:type="gramEnd"/>
      <w:r>
        <w:t xml:space="preserve"> generationsübergreifende Gedanke in der Landwirtschaft wird völlig über Bord geworfen“: Natürlich gibt es diesen in Betrieben im Familienbesitz oder mit wenigen Eigentümern. Aber bei Genossenschaften ist das ein Irrtum. Warum sollen Mitglieder jetzt arm aus der Genossenschaft ausscheiden, wenn demnächst der letzte den ganzen Reichtum einstreicht?</w:t>
      </w:r>
    </w:p>
    <w:sectPr w:rsidR="002E46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556"/>
    <w:multiLevelType w:val="hybridMultilevel"/>
    <w:tmpl w:val="9C4443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E5043DA"/>
    <w:multiLevelType w:val="hybridMultilevel"/>
    <w:tmpl w:val="673A7E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2DB188E"/>
    <w:multiLevelType w:val="hybridMultilevel"/>
    <w:tmpl w:val="8DC2E5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A9A282B"/>
    <w:multiLevelType w:val="hybridMultilevel"/>
    <w:tmpl w:val="4A10DF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F4D709C"/>
    <w:multiLevelType w:val="hybridMultilevel"/>
    <w:tmpl w:val="5810EE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CA6"/>
    <w:rsid w:val="000766AF"/>
    <w:rsid w:val="00090F29"/>
    <w:rsid w:val="0012356E"/>
    <w:rsid w:val="001267B4"/>
    <w:rsid w:val="00140B30"/>
    <w:rsid w:val="00171BDB"/>
    <w:rsid w:val="00276AD7"/>
    <w:rsid w:val="0029354D"/>
    <w:rsid w:val="002B18A3"/>
    <w:rsid w:val="002E4628"/>
    <w:rsid w:val="00350C0C"/>
    <w:rsid w:val="00421318"/>
    <w:rsid w:val="004833A2"/>
    <w:rsid w:val="00495973"/>
    <w:rsid w:val="004A0326"/>
    <w:rsid w:val="004A27C9"/>
    <w:rsid w:val="00514352"/>
    <w:rsid w:val="0058104C"/>
    <w:rsid w:val="005852C1"/>
    <w:rsid w:val="00680AA1"/>
    <w:rsid w:val="006C434D"/>
    <w:rsid w:val="006E0B91"/>
    <w:rsid w:val="00737232"/>
    <w:rsid w:val="007613EB"/>
    <w:rsid w:val="007E1179"/>
    <w:rsid w:val="0081054E"/>
    <w:rsid w:val="00817CA6"/>
    <w:rsid w:val="00853E33"/>
    <w:rsid w:val="008B3347"/>
    <w:rsid w:val="009630AA"/>
    <w:rsid w:val="00964B6A"/>
    <w:rsid w:val="009A1010"/>
    <w:rsid w:val="009B3E42"/>
    <w:rsid w:val="009C4D9B"/>
    <w:rsid w:val="009D10E2"/>
    <w:rsid w:val="009E2A77"/>
    <w:rsid w:val="00A82F53"/>
    <w:rsid w:val="00AB6867"/>
    <w:rsid w:val="00AE78AA"/>
    <w:rsid w:val="00B57366"/>
    <w:rsid w:val="00B727FD"/>
    <w:rsid w:val="00B94A3E"/>
    <w:rsid w:val="00BB5E79"/>
    <w:rsid w:val="00C02CB2"/>
    <w:rsid w:val="00CB5521"/>
    <w:rsid w:val="00CC730B"/>
    <w:rsid w:val="00CD1478"/>
    <w:rsid w:val="00CD6B6E"/>
    <w:rsid w:val="00E05CA6"/>
    <w:rsid w:val="00E105DB"/>
    <w:rsid w:val="00F31CE8"/>
    <w:rsid w:val="00F45E0C"/>
    <w:rsid w:val="00F61A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9968D"/>
  <w15:chartTrackingRefBased/>
  <w15:docId w15:val="{7E63DE52-7BCA-4F7A-8133-43BB38F0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354D"/>
    <w:rPr>
      <w:rFonts w:ascii="Times New Roman" w:hAnsi="Times New Roman"/>
      <w:sz w:val="24"/>
    </w:rPr>
  </w:style>
  <w:style w:type="paragraph" w:styleId="berschrift2">
    <w:name w:val="heading 2"/>
    <w:basedOn w:val="Standard"/>
    <w:next w:val="Standard"/>
    <w:link w:val="berschrift2Zchn"/>
    <w:uiPriority w:val="9"/>
    <w:semiHidden/>
    <w:unhideWhenUsed/>
    <w:qFormat/>
    <w:rsid w:val="00276A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05CA6"/>
    <w:pPr>
      <w:ind w:left="720"/>
      <w:contextualSpacing/>
    </w:pPr>
  </w:style>
  <w:style w:type="paragraph" w:styleId="StandardWeb">
    <w:name w:val="Normal (Web)"/>
    <w:basedOn w:val="Standard"/>
    <w:uiPriority w:val="99"/>
    <w:unhideWhenUsed/>
    <w:rsid w:val="009E2A77"/>
    <w:pPr>
      <w:spacing w:before="100" w:beforeAutospacing="1" w:after="100" w:afterAutospacing="1" w:line="240" w:lineRule="auto"/>
    </w:pPr>
    <w:rPr>
      <w:rFonts w:eastAsia="Times New Roman" w:cs="Times New Roman"/>
      <w:szCs w:val="24"/>
      <w:lang w:eastAsia="de-DE"/>
    </w:rPr>
  </w:style>
  <w:style w:type="character" w:styleId="Hyperlink">
    <w:name w:val="Hyperlink"/>
    <w:basedOn w:val="Absatz-Standardschriftart"/>
    <w:uiPriority w:val="99"/>
    <w:semiHidden/>
    <w:unhideWhenUsed/>
    <w:rsid w:val="004833A2"/>
    <w:rPr>
      <w:color w:val="0000FF"/>
      <w:u w:val="single"/>
    </w:rPr>
  </w:style>
  <w:style w:type="character" w:customStyle="1" w:styleId="value">
    <w:name w:val="value"/>
    <w:basedOn w:val="Absatz-Standardschriftart"/>
    <w:rsid w:val="00350C0C"/>
  </w:style>
  <w:style w:type="paragraph" w:styleId="Sprechblasentext">
    <w:name w:val="Balloon Text"/>
    <w:basedOn w:val="Standard"/>
    <w:link w:val="SprechblasentextZchn"/>
    <w:uiPriority w:val="99"/>
    <w:semiHidden/>
    <w:unhideWhenUsed/>
    <w:rsid w:val="004A032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A0326"/>
    <w:rPr>
      <w:rFonts w:ascii="Segoe UI" w:hAnsi="Segoe UI" w:cs="Segoe UI"/>
      <w:sz w:val="18"/>
      <w:szCs w:val="18"/>
    </w:rPr>
  </w:style>
  <w:style w:type="character" w:customStyle="1" w:styleId="berschrift2Zchn">
    <w:name w:val="Überschrift 2 Zchn"/>
    <w:basedOn w:val="Absatz-Standardschriftart"/>
    <w:link w:val="berschrift2"/>
    <w:uiPriority w:val="9"/>
    <w:semiHidden/>
    <w:rsid w:val="00276AD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28011">
      <w:bodyDiv w:val="1"/>
      <w:marLeft w:val="0"/>
      <w:marRight w:val="0"/>
      <w:marTop w:val="0"/>
      <w:marBottom w:val="0"/>
      <w:divBdr>
        <w:top w:val="none" w:sz="0" w:space="0" w:color="auto"/>
        <w:left w:val="none" w:sz="0" w:space="0" w:color="auto"/>
        <w:bottom w:val="none" w:sz="0" w:space="0" w:color="auto"/>
        <w:right w:val="none" w:sz="0" w:space="0" w:color="auto"/>
      </w:divBdr>
    </w:div>
    <w:div w:id="1260677994">
      <w:bodyDiv w:val="1"/>
      <w:marLeft w:val="0"/>
      <w:marRight w:val="0"/>
      <w:marTop w:val="0"/>
      <w:marBottom w:val="0"/>
      <w:divBdr>
        <w:top w:val="none" w:sz="0" w:space="0" w:color="auto"/>
        <w:left w:val="none" w:sz="0" w:space="0" w:color="auto"/>
        <w:bottom w:val="none" w:sz="0" w:space="0" w:color="auto"/>
        <w:right w:val="none" w:sz="0" w:space="0" w:color="auto"/>
      </w:divBdr>
      <w:divsChild>
        <w:div w:id="1586374520">
          <w:marLeft w:val="0"/>
          <w:marRight w:val="0"/>
          <w:marTop w:val="0"/>
          <w:marBottom w:val="0"/>
          <w:divBdr>
            <w:top w:val="none" w:sz="0" w:space="0" w:color="auto"/>
            <w:left w:val="none" w:sz="0" w:space="0" w:color="auto"/>
            <w:bottom w:val="none" w:sz="0" w:space="0" w:color="auto"/>
            <w:right w:val="none" w:sz="0" w:space="0" w:color="auto"/>
          </w:divBdr>
          <w:divsChild>
            <w:div w:id="6761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11072">
      <w:bodyDiv w:val="1"/>
      <w:marLeft w:val="0"/>
      <w:marRight w:val="0"/>
      <w:marTop w:val="0"/>
      <w:marBottom w:val="0"/>
      <w:divBdr>
        <w:top w:val="none" w:sz="0" w:space="0" w:color="auto"/>
        <w:left w:val="none" w:sz="0" w:space="0" w:color="auto"/>
        <w:bottom w:val="none" w:sz="0" w:space="0" w:color="auto"/>
        <w:right w:val="none" w:sz="0" w:space="0" w:color="auto"/>
      </w:divBdr>
      <w:divsChild>
        <w:div w:id="1768184991">
          <w:marLeft w:val="0"/>
          <w:marRight w:val="0"/>
          <w:marTop w:val="0"/>
          <w:marBottom w:val="0"/>
          <w:divBdr>
            <w:top w:val="none" w:sz="0" w:space="0" w:color="auto"/>
            <w:left w:val="none" w:sz="0" w:space="0" w:color="auto"/>
            <w:bottom w:val="none" w:sz="0" w:space="0" w:color="auto"/>
            <w:right w:val="none" w:sz="0" w:space="0" w:color="auto"/>
          </w:divBdr>
        </w:div>
      </w:divsChild>
    </w:div>
    <w:div w:id="161613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wikipedia.org/wiki/Agrarfl%C3%A4ch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wikipedia.org/wiki/Aneignung" TargetMode="External"/><Relationship Id="rId5" Type="http://schemas.openxmlformats.org/officeDocument/2006/relationships/hyperlink" Target="http://www.rechtsportal.de/Rechtsprechung/Rechtsprechung/1967/BVerfG/Verfassungsmaessigkeit-des-9-Abs.-1-GrdstV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1856</Words>
  <Characters>11699</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 Reis</dc:creator>
  <cp:keywords/>
  <dc:description/>
  <cp:lastModifiedBy>Arno Reis</cp:lastModifiedBy>
  <cp:revision>6</cp:revision>
  <cp:lastPrinted>2018-04-09T08:19:00Z</cp:lastPrinted>
  <dcterms:created xsi:type="dcterms:W3CDTF">2018-04-08T21:22:00Z</dcterms:created>
  <dcterms:modified xsi:type="dcterms:W3CDTF">2018-06-19T08:47:00Z</dcterms:modified>
</cp:coreProperties>
</file>