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43D" w:rsidRDefault="0078643D" w:rsidP="0078643D">
      <w:pPr>
        <w:jc w:val="center"/>
        <w:rPr>
          <w:rFonts w:ascii="Times New Roman" w:eastAsia="Times New Roman" w:hAnsi="Times New Roman" w:cs="Times New Roman"/>
          <w:b/>
          <w:sz w:val="28"/>
          <w:szCs w:val="28"/>
          <w:lang w:eastAsia="de-DE"/>
        </w:rPr>
      </w:pPr>
      <w:r w:rsidRPr="0078643D">
        <w:rPr>
          <w:rFonts w:ascii="Times New Roman" w:eastAsia="Times New Roman" w:hAnsi="Times New Roman" w:cs="Times New Roman"/>
          <w:b/>
          <w:noProof/>
          <w:sz w:val="28"/>
          <w:szCs w:val="28"/>
          <w:lang w:eastAsia="de-DE"/>
        </w:rPr>
        <w:drawing>
          <wp:inline distT="0" distB="0" distL="0" distR="0">
            <wp:extent cx="1771650" cy="2943225"/>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771650" cy="2943225"/>
                    </a:xfrm>
                    <a:prstGeom prst="rect">
                      <a:avLst/>
                    </a:prstGeom>
                    <a:noFill/>
                    <a:ln w="9525">
                      <a:noFill/>
                      <a:miter lim="800000"/>
                      <a:headEnd/>
                      <a:tailEnd/>
                    </a:ln>
                  </pic:spPr>
                </pic:pic>
              </a:graphicData>
            </a:graphic>
          </wp:inline>
        </w:drawing>
      </w:r>
    </w:p>
    <w:p w:rsidR="0078643D" w:rsidRDefault="00B26AF1" w:rsidP="0078643D">
      <w:pPr>
        <w:jc w:val="center"/>
        <w:rPr>
          <w:rFonts w:ascii="Times New Roman" w:eastAsia="Times New Roman" w:hAnsi="Times New Roman" w:cs="Times New Roman"/>
          <w:b/>
          <w:sz w:val="28"/>
          <w:szCs w:val="28"/>
          <w:lang w:eastAsia="de-DE"/>
        </w:rPr>
      </w:pPr>
      <w:r w:rsidRPr="000272B7">
        <w:rPr>
          <w:rFonts w:ascii="Times New Roman" w:eastAsia="Times New Roman" w:hAnsi="Times New Roman" w:cs="Times New Roman"/>
          <w:b/>
          <w:sz w:val="28"/>
          <w:szCs w:val="28"/>
          <w:lang w:eastAsia="de-DE"/>
        </w:rPr>
        <w:t>Kritik zum</w:t>
      </w:r>
    </w:p>
    <w:p w:rsidR="00B26AF1" w:rsidRPr="000272B7" w:rsidRDefault="00B26AF1" w:rsidP="0078643D">
      <w:pPr>
        <w:jc w:val="center"/>
        <w:rPr>
          <w:rFonts w:ascii="Times New Roman" w:eastAsia="Times New Roman" w:hAnsi="Times New Roman" w:cs="Times New Roman"/>
          <w:b/>
          <w:sz w:val="28"/>
          <w:szCs w:val="28"/>
          <w:lang w:eastAsia="de-DE"/>
        </w:rPr>
      </w:pPr>
      <w:r w:rsidRPr="000272B7">
        <w:rPr>
          <w:rFonts w:ascii="Times New Roman" w:eastAsia="Times New Roman" w:hAnsi="Times New Roman" w:cs="Times New Roman"/>
          <w:b/>
          <w:sz w:val="28"/>
          <w:szCs w:val="28"/>
          <w:lang w:eastAsia="de-DE"/>
        </w:rPr>
        <w:t>Jahresbericht der</w:t>
      </w:r>
      <w:r w:rsidR="000272B7" w:rsidRPr="000272B7">
        <w:rPr>
          <w:rFonts w:ascii="Times New Roman" w:eastAsia="Times New Roman" w:hAnsi="Times New Roman" w:cs="Times New Roman"/>
          <w:b/>
          <w:sz w:val="28"/>
          <w:szCs w:val="28"/>
          <w:lang w:eastAsia="de-DE"/>
        </w:rPr>
        <w:t xml:space="preserve"> Bundesregierung zum Stand der D</w:t>
      </w:r>
      <w:r w:rsidRPr="000272B7">
        <w:rPr>
          <w:rFonts w:ascii="Times New Roman" w:eastAsia="Times New Roman" w:hAnsi="Times New Roman" w:cs="Times New Roman"/>
          <w:b/>
          <w:sz w:val="28"/>
          <w:szCs w:val="28"/>
          <w:lang w:eastAsia="de-DE"/>
        </w:rPr>
        <w:t>eutschen Einheit 2018</w:t>
      </w:r>
    </w:p>
    <w:p w:rsidR="000272B7" w:rsidRPr="000272B7" w:rsidRDefault="000272B7" w:rsidP="00140F2A">
      <w:pPr>
        <w:jc w:val="center"/>
        <w:outlineLvl w:val="0"/>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Dipl.-Volkswirt Arno Reis, Elmenhorst bei Rostock</w:t>
      </w:r>
    </w:p>
    <w:p w:rsidR="008D6BA0" w:rsidRPr="008D6BA0" w:rsidRDefault="008D6BA0">
      <w:pPr>
        <w:rPr>
          <w:rFonts w:ascii="Times New Roman" w:hAnsi="Times New Roman" w:cs="Times New Roman"/>
          <w:sz w:val="24"/>
          <w:szCs w:val="24"/>
        </w:rPr>
      </w:pPr>
    </w:p>
    <w:p w:rsidR="008D6BA0" w:rsidRDefault="008D6BA0">
      <w:pPr>
        <w:rPr>
          <w:rFonts w:ascii="Times New Roman" w:hAnsi="Times New Roman" w:cs="Times New Roman"/>
          <w:sz w:val="24"/>
          <w:szCs w:val="24"/>
        </w:rPr>
      </w:pPr>
      <w:r w:rsidRPr="008D6BA0">
        <w:rPr>
          <w:rFonts w:ascii="Times New Roman" w:hAnsi="Times New Roman" w:cs="Times New Roman"/>
          <w:sz w:val="24"/>
          <w:szCs w:val="24"/>
        </w:rPr>
        <w:t>Die heutige</w:t>
      </w:r>
      <w:r w:rsidR="00884711">
        <w:rPr>
          <w:rFonts w:ascii="Times New Roman" w:hAnsi="Times New Roman" w:cs="Times New Roman"/>
          <w:sz w:val="24"/>
          <w:szCs w:val="24"/>
        </w:rPr>
        <w:t>n</w:t>
      </w:r>
      <w:r w:rsidRPr="008D6BA0">
        <w:rPr>
          <w:rFonts w:ascii="Times New Roman" w:hAnsi="Times New Roman" w:cs="Times New Roman"/>
          <w:sz w:val="24"/>
          <w:szCs w:val="24"/>
        </w:rPr>
        <w:t xml:space="preserve"> Bundesländer Mecklenburg-Vorpommern und Brandenburg waren </w:t>
      </w:r>
      <w:r>
        <w:rPr>
          <w:rFonts w:ascii="Times New Roman" w:hAnsi="Times New Roman" w:cs="Times New Roman"/>
          <w:sz w:val="24"/>
          <w:szCs w:val="24"/>
        </w:rPr>
        <w:t xml:space="preserve">schon immer Güterländern. </w:t>
      </w:r>
      <w:r w:rsidR="00884711">
        <w:rPr>
          <w:rFonts w:ascii="Times New Roman" w:hAnsi="Times New Roman" w:cs="Times New Roman"/>
          <w:sz w:val="24"/>
          <w:szCs w:val="24"/>
        </w:rPr>
        <w:t>Die Gutsherren waren sowohl aktive Landwirte als auch passive, d.h. sie ließen bewirtschaften weil sie z.B. Unternehmer oder adlige Großgrundbesitzer</w:t>
      </w:r>
      <w:r w:rsidR="00095575">
        <w:rPr>
          <w:rFonts w:ascii="Times New Roman" w:hAnsi="Times New Roman" w:cs="Times New Roman"/>
          <w:sz w:val="24"/>
          <w:szCs w:val="24"/>
        </w:rPr>
        <w:t xml:space="preserve"> ware</w:t>
      </w:r>
      <w:r w:rsidR="00254889">
        <w:rPr>
          <w:rFonts w:ascii="Times New Roman" w:hAnsi="Times New Roman" w:cs="Times New Roman"/>
          <w:sz w:val="24"/>
          <w:szCs w:val="24"/>
        </w:rPr>
        <w:t>n</w:t>
      </w:r>
      <w:r w:rsidR="00095575">
        <w:rPr>
          <w:rFonts w:ascii="Times New Roman" w:hAnsi="Times New Roman" w:cs="Times New Roman"/>
          <w:sz w:val="24"/>
          <w:szCs w:val="24"/>
        </w:rPr>
        <w:t xml:space="preserve"> oder im Militär dienten</w:t>
      </w:r>
      <w:proofErr w:type="gramStart"/>
      <w:r w:rsidR="00884711">
        <w:rPr>
          <w:rFonts w:ascii="Times New Roman" w:hAnsi="Times New Roman" w:cs="Times New Roman"/>
          <w:sz w:val="24"/>
          <w:szCs w:val="24"/>
        </w:rPr>
        <w:t>..</w:t>
      </w:r>
      <w:proofErr w:type="gramEnd"/>
      <w:r w:rsidR="00884711">
        <w:rPr>
          <w:rFonts w:ascii="Times New Roman" w:hAnsi="Times New Roman" w:cs="Times New Roman"/>
          <w:sz w:val="24"/>
          <w:szCs w:val="24"/>
        </w:rPr>
        <w:t xml:space="preserve"> </w:t>
      </w:r>
      <w:r>
        <w:rPr>
          <w:rFonts w:ascii="Times New Roman" w:hAnsi="Times New Roman" w:cs="Times New Roman"/>
          <w:sz w:val="24"/>
          <w:szCs w:val="24"/>
        </w:rPr>
        <w:t>Die DDR machte durch die sowohl erzwungene als auch freiwillige Kollektivierung und Bildung der volkseigenen Güter aus der gesamten DDR ein Güterland</w:t>
      </w:r>
      <w:r w:rsidR="00884711">
        <w:rPr>
          <w:rFonts w:ascii="Times New Roman" w:hAnsi="Times New Roman" w:cs="Times New Roman"/>
          <w:sz w:val="24"/>
          <w:szCs w:val="24"/>
        </w:rPr>
        <w:t>, verbrämt mit der Parole „Junkerland in Bauernhand“. Diese in der DDR herausgebildete Landwirtschaftsstruktur</w:t>
      </w:r>
      <w:r>
        <w:rPr>
          <w:rFonts w:ascii="Times New Roman" w:hAnsi="Times New Roman" w:cs="Times New Roman"/>
          <w:sz w:val="24"/>
          <w:szCs w:val="24"/>
        </w:rPr>
        <w:t xml:space="preserve"> hat sich </w:t>
      </w:r>
      <w:r w:rsidR="004F2E34">
        <w:rPr>
          <w:rFonts w:ascii="Times New Roman" w:hAnsi="Times New Roman" w:cs="Times New Roman"/>
          <w:sz w:val="24"/>
          <w:szCs w:val="24"/>
        </w:rPr>
        <w:t xml:space="preserve">nach der Wende und </w:t>
      </w:r>
      <w:r w:rsidR="004F2E34" w:rsidRPr="004F2E34">
        <w:rPr>
          <w:rFonts w:ascii="Times New Roman" w:hAnsi="Times New Roman" w:cs="Times New Roman"/>
          <w:sz w:val="24"/>
          <w:szCs w:val="24"/>
        </w:rPr>
        <w:t xml:space="preserve">trotz des </w:t>
      </w:r>
      <w:proofErr w:type="spellStart"/>
      <w:r w:rsidR="004F2E34" w:rsidRPr="004F2E34">
        <w:rPr>
          <w:rFonts w:ascii="Times New Roman" w:hAnsi="Times New Roman" w:cs="Times New Roman"/>
          <w:sz w:val="24"/>
          <w:szCs w:val="24"/>
        </w:rPr>
        <w:t>LwAnpG</w:t>
      </w:r>
      <w:proofErr w:type="spellEnd"/>
      <w:r w:rsidR="00095575">
        <w:rPr>
          <w:rFonts w:ascii="Times New Roman" w:hAnsi="Times New Roman" w:cs="Times New Roman"/>
          <w:sz w:val="24"/>
          <w:szCs w:val="24"/>
        </w:rPr>
        <w:t xml:space="preserve"> zu</w:t>
      </w:r>
      <w:r>
        <w:rPr>
          <w:rFonts w:ascii="Times New Roman" w:hAnsi="Times New Roman" w:cs="Times New Roman"/>
          <w:sz w:val="24"/>
          <w:szCs w:val="24"/>
        </w:rPr>
        <w:t xml:space="preserve"> eine</w:t>
      </w:r>
      <w:r w:rsidR="00095575">
        <w:rPr>
          <w:rFonts w:ascii="Times New Roman" w:hAnsi="Times New Roman" w:cs="Times New Roman"/>
          <w:sz w:val="24"/>
          <w:szCs w:val="24"/>
        </w:rPr>
        <w:t>r</w:t>
      </w:r>
      <w:r>
        <w:rPr>
          <w:rFonts w:ascii="Times New Roman" w:hAnsi="Times New Roman" w:cs="Times New Roman"/>
          <w:sz w:val="24"/>
          <w:szCs w:val="24"/>
        </w:rPr>
        <w:t xml:space="preserve"> wettbewerbsfähige</w:t>
      </w:r>
      <w:r w:rsidR="00095575">
        <w:rPr>
          <w:rFonts w:ascii="Times New Roman" w:hAnsi="Times New Roman" w:cs="Times New Roman"/>
          <w:sz w:val="24"/>
          <w:szCs w:val="24"/>
        </w:rPr>
        <w:t>n</w:t>
      </w:r>
      <w:r>
        <w:rPr>
          <w:rFonts w:ascii="Times New Roman" w:hAnsi="Times New Roman" w:cs="Times New Roman"/>
          <w:sz w:val="24"/>
          <w:szCs w:val="24"/>
        </w:rPr>
        <w:t>, dem alten Westen übe</w:t>
      </w:r>
      <w:r w:rsidR="00334F36">
        <w:rPr>
          <w:rFonts w:ascii="Times New Roman" w:hAnsi="Times New Roman" w:cs="Times New Roman"/>
          <w:sz w:val="24"/>
          <w:szCs w:val="24"/>
        </w:rPr>
        <w:t>rlegene</w:t>
      </w:r>
      <w:r w:rsidR="00095575">
        <w:rPr>
          <w:rFonts w:ascii="Times New Roman" w:hAnsi="Times New Roman" w:cs="Times New Roman"/>
          <w:sz w:val="24"/>
          <w:szCs w:val="24"/>
        </w:rPr>
        <w:t>n</w:t>
      </w:r>
      <w:r w:rsidR="00884711">
        <w:rPr>
          <w:rFonts w:ascii="Times New Roman" w:hAnsi="Times New Roman" w:cs="Times New Roman"/>
          <w:sz w:val="24"/>
          <w:szCs w:val="24"/>
        </w:rPr>
        <w:t xml:space="preserve"> Landwirtschaft</w:t>
      </w:r>
      <w:r w:rsidR="00334F36">
        <w:rPr>
          <w:rFonts w:ascii="Times New Roman" w:hAnsi="Times New Roman" w:cs="Times New Roman"/>
          <w:sz w:val="24"/>
          <w:szCs w:val="24"/>
        </w:rPr>
        <w:t xml:space="preserve"> entwickelt.</w:t>
      </w:r>
    </w:p>
    <w:p w:rsidR="00334F36" w:rsidRDefault="00334F36">
      <w:pPr>
        <w:rPr>
          <w:rFonts w:ascii="Times New Roman" w:hAnsi="Times New Roman" w:cs="Times New Roman"/>
          <w:sz w:val="24"/>
          <w:szCs w:val="24"/>
        </w:rPr>
      </w:pPr>
      <w:r>
        <w:rPr>
          <w:rFonts w:ascii="Times New Roman" w:hAnsi="Times New Roman" w:cs="Times New Roman"/>
          <w:sz w:val="24"/>
          <w:szCs w:val="24"/>
        </w:rPr>
        <w:t>Im Punkt 3.6.1. des Berichts wird die „zunehmende Übernahme von wirtschaftlich gesunden Betrieben durch überregionale, teilweise branchenfremde Finanzinvestoren“ mit Sorge gesehen.</w:t>
      </w:r>
      <w:r w:rsidR="00254889">
        <w:rPr>
          <w:rFonts w:ascii="Times New Roman" w:hAnsi="Times New Roman" w:cs="Times New Roman"/>
          <w:sz w:val="24"/>
          <w:szCs w:val="24"/>
        </w:rPr>
        <w:t xml:space="preserve"> Die Tendenz des Berichts in Sachen Landwirtschaft </w:t>
      </w:r>
      <w:r w:rsidR="00140F2A">
        <w:rPr>
          <w:rFonts w:ascii="Times New Roman" w:hAnsi="Times New Roman" w:cs="Times New Roman"/>
          <w:sz w:val="24"/>
          <w:szCs w:val="24"/>
        </w:rPr>
        <w:t>trifft</w:t>
      </w:r>
      <w:r w:rsidR="00254889">
        <w:rPr>
          <w:rFonts w:ascii="Times New Roman" w:hAnsi="Times New Roman" w:cs="Times New Roman"/>
          <w:sz w:val="24"/>
          <w:szCs w:val="24"/>
        </w:rPr>
        <w:t xml:space="preserve"> auf eine Aussage von </w:t>
      </w:r>
      <w:r w:rsidR="00254889" w:rsidRPr="005B57C7">
        <w:rPr>
          <w:rFonts w:ascii="Times New Roman" w:hAnsi="Times New Roman" w:cs="Times New Roman"/>
          <w:sz w:val="24"/>
          <w:szCs w:val="24"/>
        </w:rPr>
        <w:t>Professor Grethe, Vorsitzender des wissenschaftlichen Beirats beim Bundeslandwirtschaft</w:t>
      </w:r>
      <w:r w:rsidR="00254889">
        <w:rPr>
          <w:rFonts w:ascii="Times New Roman" w:hAnsi="Times New Roman" w:cs="Times New Roman"/>
          <w:sz w:val="24"/>
          <w:szCs w:val="24"/>
        </w:rPr>
        <w:t>sministeriums, zu:</w:t>
      </w:r>
      <w:r w:rsidR="00254889" w:rsidRPr="005B57C7">
        <w:rPr>
          <w:rFonts w:ascii="Times New Roman" w:hAnsi="Times New Roman" w:cs="Times New Roman"/>
          <w:sz w:val="24"/>
          <w:szCs w:val="24"/>
        </w:rPr>
        <w:t xml:space="preserve"> „agrarromantischen Vorstellungen von eher städtischen Gruppen.“.</w:t>
      </w:r>
    </w:p>
    <w:p w:rsidR="00AA1809" w:rsidRDefault="00254889">
      <w:pPr>
        <w:rPr>
          <w:rFonts w:ascii="Times New Roman" w:hAnsi="Times New Roman" w:cs="Times New Roman"/>
          <w:sz w:val="24"/>
          <w:szCs w:val="24"/>
        </w:rPr>
      </w:pPr>
      <w:r>
        <w:rPr>
          <w:rFonts w:ascii="Times New Roman" w:hAnsi="Times New Roman" w:cs="Times New Roman"/>
          <w:sz w:val="24"/>
          <w:szCs w:val="24"/>
        </w:rPr>
        <w:t>Der Bericht stützt sich auf</w:t>
      </w:r>
      <w:r w:rsidR="00334F36">
        <w:rPr>
          <w:rFonts w:ascii="Times New Roman" w:hAnsi="Times New Roman" w:cs="Times New Roman"/>
          <w:sz w:val="24"/>
          <w:szCs w:val="24"/>
        </w:rPr>
        <w:t xml:space="preserve"> Zahlen aus dem </w:t>
      </w:r>
      <w:proofErr w:type="spellStart"/>
      <w:r w:rsidR="00334F36">
        <w:rPr>
          <w:rFonts w:ascii="Times New Roman" w:hAnsi="Times New Roman" w:cs="Times New Roman"/>
          <w:sz w:val="24"/>
          <w:szCs w:val="24"/>
        </w:rPr>
        <w:t>Thünen</w:t>
      </w:r>
      <w:proofErr w:type="spellEnd"/>
      <w:r w:rsidR="00334F36">
        <w:rPr>
          <w:rFonts w:ascii="Times New Roman" w:hAnsi="Times New Roman" w:cs="Times New Roman"/>
          <w:sz w:val="24"/>
          <w:szCs w:val="24"/>
        </w:rPr>
        <w:t xml:space="preserve"> Report 52. Dieser weist jedoch genau wie sein Vorgänger </w:t>
      </w:r>
      <w:proofErr w:type="spellStart"/>
      <w:r w:rsidR="00334F36">
        <w:rPr>
          <w:rFonts w:ascii="Times New Roman" w:hAnsi="Times New Roman" w:cs="Times New Roman"/>
          <w:sz w:val="24"/>
          <w:szCs w:val="24"/>
        </w:rPr>
        <w:t>Thünen</w:t>
      </w:r>
      <w:proofErr w:type="spellEnd"/>
      <w:r w:rsidR="00334F36">
        <w:rPr>
          <w:rFonts w:ascii="Times New Roman" w:hAnsi="Times New Roman" w:cs="Times New Roman"/>
          <w:sz w:val="24"/>
          <w:szCs w:val="24"/>
        </w:rPr>
        <w:t xml:space="preserve"> Rep</w:t>
      </w:r>
      <w:r w:rsidR="005C6BCB">
        <w:rPr>
          <w:rFonts w:ascii="Times New Roman" w:hAnsi="Times New Roman" w:cs="Times New Roman"/>
          <w:sz w:val="24"/>
          <w:szCs w:val="24"/>
        </w:rPr>
        <w:t>ort 5 erhebliche methodische Mängel auf.</w:t>
      </w:r>
      <w:r w:rsidR="00AA1809">
        <w:rPr>
          <w:rFonts w:ascii="Times New Roman" w:hAnsi="Times New Roman" w:cs="Times New Roman"/>
          <w:sz w:val="24"/>
          <w:szCs w:val="24"/>
        </w:rPr>
        <w:t xml:space="preserve"> </w:t>
      </w:r>
    </w:p>
    <w:p w:rsidR="00AA1809" w:rsidRPr="00A101BC" w:rsidRDefault="00AA1809" w:rsidP="00A101BC">
      <w:pPr>
        <w:pStyle w:val="Listenabsatz"/>
        <w:numPr>
          <w:ilvl w:val="0"/>
          <w:numId w:val="4"/>
        </w:numPr>
        <w:rPr>
          <w:rFonts w:ascii="Times New Roman" w:hAnsi="Times New Roman" w:cs="Times New Roman"/>
          <w:sz w:val="24"/>
          <w:szCs w:val="24"/>
        </w:rPr>
      </w:pPr>
      <w:r w:rsidRPr="00A101BC">
        <w:rPr>
          <w:rFonts w:ascii="Times New Roman" w:hAnsi="Times New Roman" w:cs="Times New Roman"/>
          <w:sz w:val="24"/>
          <w:szCs w:val="24"/>
        </w:rPr>
        <w:t xml:space="preserve">Im wissenschaftlichen Sinn der Statistik </w:t>
      </w:r>
      <w:r w:rsidR="00A101BC" w:rsidRPr="00A101BC">
        <w:rPr>
          <w:rFonts w:ascii="Times New Roman" w:hAnsi="Times New Roman" w:cs="Times New Roman"/>
          <w:sz w:val="24"/>
          <w:szCs w:val="24"/>
        </w:rPr>
        <w:t>handelt es sich weder</w:t>
      </w:r>
      <w:r w:rsidRPr="00A101BC">
        <w:rPr>
          <w:rFonts w:ascii="Times New Roman" w:hAnsi="Times New Roman" w:cs="Times New Roman"/>
          <w:sz w:val="24"/>
          <w:szCs w:val="24"/>
        </w:rPr>
        <w:t xml:space="preserve"> um</w:t>
      </w:r>
      <w:r w:rsidR="00A101BC" w:rsidRPr="00A101BC">
        <w:rPr>
          <w:rFonts w:ascii="Times New Roman" w:hAnsi="Times New Roman" w:cs="Times New Roman"/>
          <w:sz w:val="24"/>
          <w:szCs w:val="24"/>
        </w:rPr>
        <w:t xml:space="preserve"> eine repräsentative Stichprobe noch um eine</w:t>
      </w:r>
      <w:r w:rsidRPr="00A101BC">
        <w:rPr>
          <w:rFonts w:ascii="Times New Roman" w:hAnsi="Times New Roman" w:cs="Times New Roman"/>
          <w:sz w:val="24"/>
          <w:szCs w:val="24"/>
        </w:rPr>
        <w:t xml:space="preserve"> mehrfach geschichteten Zufallsauswahl nach dem </w:t>
      </w:r>
      <w:hyperlink r:id="rId6" w:tooltip="ADM-Mastersample" w:history="1">
        <w:r w:rsidRPr="00A101BC">
          <w:rPr>
            <w:rStyle w:val="Hyperlink"/>
            <w:rFonts w:ascii="Times New Roman" w:hAnsi="Times New Roman" w:cs="Times New Roman"/>
            <w:color w:val="auto"/>
            <w:sz w:val="24"/>
            <w:szCs w:val="24"/>
            <w:u w:val="none"/>
          </w:rPr>
          <w:t>ADM-Mastersample</w:t>
        </w:r>
      </w:hyperlink>
      <w:r w:rsidRPr="00A101BC">
        <w:rPr>
          <w:rFonts w:ascii="Times New Roman" w:hAnsi="Times New Roman" w:cs="Times New Roman"/>
          <w:sz w:val="24"/>
          <w:szCs w:val="24"/>
        </w:rPr>
        <w:t xml:space="preserve"> des Arbeitskreises Deuts</w:t>
      </w:r>
      <w:r w:rsidR="00A101BC" w:rsidRPr="00A101BC">
        <w:rPr>
          <w:rFonts w:ascii="Times New Roman" w:hAnsi="Times New Roman" w:cs="Times New Roman"/>
          <w:sz w:val="24"/>
          <w:szCs w:val="24"/>
        </w:rPr>
        <w:t xml:space="preserve">cher Marktforschungsunternehmen. </w:t>
      </w:r>
    </w:p>
    <w:p w:rsidR="00334F36" w:rsidRPr="00A101BC" w:rsidRDefault="005C6BCB" w:rsidP="00A101BC">
      <w:pPr>
        <w:pStyle w:val="Listenabsatz"/>
        <w:numPr>
          <w:ilvl w:val="0"/>
          <w:numId w:val="4"/>
        </w:numPr>
        <w:spacing w:after="0"/>
        <w:rPr>
          <w:rFonts w:ascii="Times New Roman" w:hAnsi="Times New Roman" w:cs="Times New Roman"/>
          <w:sz w:val="24"/>
          <w:szCs w:val="24"/>
        </w:rPr>
      </w:pPr>
      <w:r w:rsidRPr="00A101BC">
        <w:rPr>
          <w:rFonts w:ascii="Times New Roman" w:hAnsi="Times New Roman" w:cs="Times New Roman"/>
          <w:sz w:val="24"/>
          <w:szCs w:val="24"/>
        </w:rPr>
        <w:t xml:space="preserve">Untersucht wurden </w:t>
      </w:r>
      <w:r w:rsidR="00334F36" w:rsidRPr="00A101BC">
        <w:rPr>
          <w:rFonts w:ascii="Times New Roman" w:hAnsi="Times New Roman" w:cs="Times New Roman"/>
          <w:sz w:val="24"/>
          <w:szCs w:val="24"/>
        </w:rPr>
        <w:t>in allen Neuen Bundesländern</w:t>
      </w:r>
      <w:r w:rsidRPr="00A101BC">
        <w:rPr>
          <w:rFonts w:ascii="Times New Roman" w:hAnsi="Times New Roman" w:cs="Times New Roman"/>
          <w:sz w:val="24"/>
          <w:szCs w:val="24"/>
        </w:rPr>
        <w:t xml:space="preserve"> insgesamt zehn Landkreise. Und zwar </w:t>
      </w:r>
      <w:r w:rsidR="00254889">
        <w:rPr>
          <w:rFonts w:ascii="Times New Roman" w:hAnsi="Times New Roman" w:cs="Times New Roman"/>
          <w:sz w:val="24"/>
          <w:szCs w:val="24"/>
        </w:rPr>
        <w:t xml:space="preserve">nur </w:t>
      </w:r>
      <w:r w:rsidRPr="00A101BC">
        <w:rPr>
          <w:rFonts w:ascii="Times New Roman" w:hAnsi="Times New Roman" w:cs="Times New Roman"/>
          <w:sz w:val="24"/>
          <w:szCs w:val="24"/>
        </w:rPr>
        <w:t>die juristischen Personen einschließlich der GmbH &amp; Co KG, nicht jedoch Personengesells</w:t>
      </w:r>
      <w:r w:rsidR="00254889">
        <w:rPr>
          <w:rFonts w:ascii="Times New Roman" w:hAnsi="Times New Roman" w:cs="Times New Roman"/>
          <w:sz w:val="24"/>
          <w:szCs w:val="24"/>
        </w:rPr>
        <w:t>chaften oder Einzelunternehmer.</w:t>
      </w:r>
    </w:p>
    <w:p w:rsidR="005C6BCB" w:rsidRPr="00A101BC" w:rsidRDefault="005C6BCB" w:rsidP="00A101BC">
      <w:pPr>
        <w:pStyle w:val="Listenabsatz"/>
        <w:numPr>
          <w:ilvl w:val="0"/>
          <w:numId w:val="4"/>
        </w:numPr>
        <w:spacing w:after="0"/>
        <w:rPr>
          <w:rFonts w:ascii="Times New Roman" w:hAnsi="Times New Roman" w:cs="Times New Roman"/>
          <w:sz w:val="24"/>
          <w:szCs w:val="24"/>
        </w:rPr>
      </w:pPr>
      <w:r w:rsidRPr="00A101BC">
        <w:rPr>
          <w:rFonts w:ascii="Times New Roman" w:hAnsi="Times New Roman" w:cs="Times New Roman"/>
          <w:sz w:val="24"/>
          <w:szCs w:val="24"/>
        </w:rPr>
        <w:lastRenderedPageBreak/>
        <w:t xml:space="preserve">Die Autoren </w:t>
      </w:r>
      <w:r w:rsidR="00A101BC" w:rsidRPr="00A101BC">
        <w:rPr>
          <w:rFonts w:ascii="Times New Roman" w:hAnsi="Times New Roman" w:cs="Times New Roman"/>
          <w:sz w:val="24"/>
          <w:szCs w:val="24"/>
        </w:rPr>
        <w:t xml:space="preserve">wissen um ihre </w:t>
      </w:r>
      <w:r w:rsidR="00095575" w:rsidRPr="00A101BC">
        <w:rPr>
          <w:rFonts w:ascii="Times New Roman" w:hAnsi="Times New Roman" w:cs="Times New Roman"/>
          <w:sz w:val="24"/>
          <w:szCs w:val="24"/>
        </w:rPr>
        <w:t>statistische</w:t>
      </w:r>
      <w:r w:rsidR="00A101BC" w:rsidRPr="00A101BC">
        <w:rPr>
          <w:rFonts w:ascii="Times New Roman" w:hAnsi="Times New Roman" w:cs="Times New Roman"/>
          <w:sz w:val="24"/>
          <w:szCs w:val="24"/>
        </w:rPr>
        <w:t xml:space="preserve"> Schwäche und </w:t>
      </w:r>
      <w:r w:rsidRPr="00A101BC">
        <w:rPr>
          <w:rFonts w:ascii="Times New Roman" w:hAnsi="Times New Roman" w:cs="Times New Roman"/>
          <w:sz w:val="24"/>
          <w:szCs w:val="24"/>
        </w:rPr>
        <w:t>relativieren ihr Ergebnis selbst: Das historische Güterland „</w:t>
      </w:r>
      <w:r w:rsidR="0082669E" w:rsidRPr="00A101BC">
        <w:rPr>
          <w:rFonts w:ascii="Times New Roman" w:hAnsi="Times New Roman" w:cs="Times New Roman"/>
          <w:sz w:val="24"/>
          <w:szCs w:val="24"/>
        </w:rPr>
        <w:t>Mecklenburg</w:t>
      </w:r>
      <w:r w:rsidRPr="00A101BC">
        <w:rPr>
          <w:rFonts w:ascii="Times New Roman" w:hAnsi="Times New Roman" w:cs="Times New Roman"/>
          <w:sz w:val="24"/>
          <w:szCs w:val="24"/>
        </w:rPr>
        <w:t xml:space="preserve">–Vorpommern </w:t>
      </w:r>
      <w:r w:rsidR="00095575">
        <w:rPr>
          <w:rFonts w:ascii="Times New Roman" w:hAnsi="Times New Roman" w:cs="Times New Roman"/>
          <w:sz w:val="24"/>
          <w:szCs w:val="24"/>
        </w:rPr>
        <w:t>„</w:t>
      </w:r>
      <w:r w:rsidRPr="00A101BC">
        <w:rPr>
          <w:rFonts w:ascii="Times New Roman" w:hAnsi="Times New Roman" w:cs="Times New Roman"/>
          <w:sz w:val="24"/>
          <w:szCs w:val="24"/>
        </w:rPr>
        <w:t>ist auf Grund der Größe seiner Landkreise mit 330 Unternehmen überrepräsentiert.</w:t>
      </w:r>
      <w:r w:rsidR="0082669E" w:rsidRPr="00A101BC">
        <w:rPr>
          <w:rFonts w:ascii="Times New Roman" w:hAnsi="Times New Roman" w:cs="Times New Roman"/>
          <w:sz w:val="24"/>
          <w:szCs w:val="24"/>
        </w:rPr>
        <w:t xml:space="preserve"> Die betrachteten Unternehmen bewirtschaften zusammen …. 56 % der gesamten LF in den untersuchten Landkreisen.</w:t>
      </w:r>
      <w:r w:rsidRPr="00A101BC">
        <w:rPr>
          <w:rFonts w:ascii="Times New Roman" w:hAnsi="Times New Roman" w:cs="Times New Roman"/>
          <w:sz w:val="24"/>
          <w:szCs w:val="24"/>
        </w:rPr>
        <w:t>“ (Zusammenfassung, Ergebnisse, VIII)</w:t>
      </w:r>
    </w:p>
    <w:p w:rsidR="003576DF" w:rsidRPr="00A101BC" w:rsidRDefault="00E459B3" w:rsidP="00C63241">
      <w:pPr>
        <w:pStyle w:val="Listenabsatz"/>
        <w:numPr>
          <w:ilvl w:val="0"/>
          <w:numId w:val="4"/>
        </w:numPr>
        <w:spacing w:after="0" w:line="240" w:lineRule="auto"/>
        <w:rPr>
          <w:rFonts w:ascii="Times New Roman" w:hAnsi="Times New Roman" w:cs="Times New Roman"/>
          <w:sz w:val="24"/>
          <w:szCs w:val="24"/>
        </w:rPr>
      </w:pPr>
      <w:r w:rsidRPr="00A101BC">
        <w:rPr>
          <w:rFonts w:ascii="Times New Roman" w:hAnsi="Times New Roman" w:cs="Times New Roman"/>
          <w:sz w:val="24"/>
          <w:szCs w:val="24"/>
        </w:rPr>
        <w:t>Folgerichtig</w:t>
      </w:r>
      <w:r w:rsidR="003576DF" w:rsidRPr="00A101BC">
        <w:rPr>
          <w:rFonts w:ascii="Times New Roman" w:hAnsi="Times New Roman" w:cs="Times New Roman"/>
          <w:sz w:val="24"/>
          <w:szCs w:val="24"/>
        </w:rPr>
        <w:t xml:space="preserve"> </w:t>
      </w:r>
      <w:r w:rsidRPr="00A101BC">
        <w:rPr>
          <w:rFonts w:ascii="Times New Roman" w:hAnsi="Times New Roman" w:cs="Times New Roman"/>
          <w:sz w:val="24"/>
          <w:szCs w:val="24"/>
        </w:rPr>
        <w:t xml:space="preserve">ist im </w:t>
      </w:r>
      <w:proofErr w:type="spellStart"/>
      <w:r w:rsidRPr="00A101BC">
        <w:rPr>
          <w:rFonts w:ascii="Times New Roman" w:hAnsi="Times New Roman" w:cs="Times New Roman"/>
          <w:sz w:val="24"/>
          <w:szCs w:val="24"/>
        </w:rPr>
        <w:t>Thünen</w:t>
      </w:r>
      <w:proofErr w:type="spellEnd"/>
      <w:r w:rsidRPr="00A101BC">
        <w:rPr>
          <w:rFonts w:ascii="Times New Roman" w:hAnsi="Times New Roman" w:cs="Times New Roman"/>
          <w:sz w:val="24"/>
          <w:szCs w:val="24"/>
        </w:rPr>
        <w:t xml:space="preserve"> Report die Tabelle 16 mit der „Relation zwischen v</w:t>
      </w:r>
      <w:r w:rsidR="00A101BC" w:rsidRPr="00A101BC">
        <w:rPr>
          <w:rFonts w:ascii="Times New Roman" w:hAnsi="Times New Roman" w:cs="Times New Roman"/>
          <w:sz w:val="24"/>
          <w:szCs w:val="24"/>
        </w:rPr>
        <w:t xml:space="preserve">erkaufter landwirtschaftlicher </w:t>
      </w:r>
      <w:r w:rsidR="00254889">
        <w:rPr>
          <w:rFonts w:ascii="Times New Roman" w:hAnsi="Times New Roman" w:cs="Times New Roman"/>
          <w:sz w:val="24"/>
          <w:szCs w:val="24"/>
        </w:rPr>
        <w:t xml:space="preserve">Fläche und Eigentumsfläche der per Share Deal übernommenen Unternehmen“ </w:t>
      </w:r>
      <w:r w:rsidR="00A101BC" w:rsidRPr="00A101BC">
        <w:rPr>
          <w:rFonts w:ascii="Times New Roman" w:hAnsi="Times New Roman" w:cs="Times New Roman"/>
          <w:sz w:val="24"/>
          <w:szCs w:val="24"/>
        </w:rPr>
        <w:t xml:space="preserve">nicht </w:t>
      </w:r>
      <w:r w:rsidRPr="00A101BC">
        <w:rPr>
          <w:rFonts w:ascii="Times New Roman" w:hAnsi="Times New Roman" w:cs="Times New Roman"/>
          <w:sz w:val="24"/>
          <w:szCs w:val="24"/>
        </w:rPr>
        <w:t xml:space="preserve">repräsentativ. </w:t>
      </w:r>
      <w:r w:rsidR="00A101BC" w:rsidRPr="00A101BC">
        <w:rPr>
          <w:rFonts w:ascii="Times New Roman" w:hAnsi="Times New Roman" w:cs="Times New Roman"/>
          <w:sz w:val="24"/>
          <w:szCs w:val="24"/>
        </w:rPr>
        <w:t xml:space="preserve">Übrigens wird bei den Eigentumsflächen </w:t>
      </w:r>
      <w:r w:rsidR="005949A0" w:rsidRPr="00A101BC">
        <w:rPr>
          <w:rFonts w:ascii="Times New Roman" w:hAnsi="Times New Roman" w:cs="Times New Roman"/>
          <w:sz w:val="24"/>
          <w:szCs w:val="24"/>
        </w:rPr>
        <w:t xml:space="preserve">nicht zwischen </w:t>
      </w:r>
      <w:r w:rsidR="00A101BC" w:rsidRPr="00A101BC">
        <w:rPr>
          <w:rFonts w:ascii="Times New Roman" w:hAnsi="Times New Roman" w:cs="Times New Roman"/>
          <w:sz w:val="24"/>
          <w:szCs w:val="24"/>
        </w:rPr>
        <w:t xml:space="preserve">begehrtem </w:t>
      </w:r>
      <w:r w:rsidR="005949A0" w:rsidRPr="00A101BC">
        <w:rPr>
          <w:rFonts w:ascii="Times New Roman" w:hAnsi="Times New Roman" w:cs="Times New Roman"/>
          <w:sz w:val="24"/>
          <w:szCs w:val="24"/>
        </w:rPr>
        <w:t xml:space="preserve">Ackerland und Grünland, das man oft beim Kauf mitnehmen muß, unterschieden. </w:t>
      </w:r>
      <w:r w:rsidRPr="00A101BC">
        <w:rPr>
          <w:rFonts w:ascii="Times New Roman" w:hAnsi="Times New Roman" w:cs="Times New Roman"/>
          <w:sz w:val="24"/>
          <w:szCs w:val="24"/>
        </w:rPr>
        <w:t>Ungeprüft werden dies</w:t>
      </w:r>
      <w:r w:rsidR="00C63241">
        <w:rPr>
          <w:rFonts w:ascii="Times New Roman" w:hAnsi="Times New Roman" w:cs="Times New Roman"/>
          <w:sz w:val="24"/>
          <w:szCs w:val="24"/>
        </w:rPr>
        <w:t>e</w:t>
      </w:r>
      <w:r w:rsidRPr="00A101BC">
        <w:rPr>
          <w:rFonts w:ascii="Times New Roman" w:hAnsi="Times New Roman" w:cs="Times New Roman"/>
          <w:sz w:val="24"/>
          <w:szCs w:val="24"/>
        </w:rPr>
        <w:t xml:space="preserve"> zweifelhaften Ergebnisse </w:t>
      </w:r>
      <w:r w:rsidR="00C63241" w:rsidRPr="00A101BC">
        <w:rPr>
          <w:rFonts w:ascii="Times New Roman" w:hAnsi="Times New Roman" w:cs="Times New Roman"/>
          <w:sz w:val="24"/>
          <w:szCs w:val="24"/>
        </w:rPr>
        <w:t>im Bericht</w:t>
      </w:r>
      <w:r w:rsidRPr="00A101BC">
        <w:rPr>
          <w:rFonts w:ascii="Times New Roman" w:hAnsi="Times New Roman" w:cs="Times New Roman"/>
          <w:sz w:val="24"/>
          <w:szCs w:val="24"/>
        </w:rPr>
        <w:t xml:space="preserve"> zur Deutschen Einheit übernommen.</w:t>
      </w:r>
    </w:p>
    <w:p w:rsidR="0082669E" w:rsidRDefault="0082669E" w:rsidP="00C63241">
      <w:pPr>
        <w:pStyle w:val="Listenabsatz"/>
        <w:numPr>
          <w:ilvl w:val="0"/>
          <w:numId w:val="4"/>
        </w:numPr>
        <w:spacing w:after="0" w:line="240" w:lineRule="auto"/>
        <w:rPr>
          <w:rFonts w:ascii="Times New Roman" w:hAnsi="Times New Roman"/>
          <w:sz w:val="24"/>
        </w:rPr>
      </w:pPr>
      <w:r w:rsidRPr="00C63241">
        <w:rPr>
          <w:rFonts w:ascii="Times New Roman" w:hAnsi="Times New Roman"/>
          <w:sz w:val="24"/>
        </w:rPr>
        <w:t>Die Klassifizierung der Eigentümerstruktur ist angreifbar</w:t>
      </w:r>
      <w:r w:rsidR="00C63241">
        <w:rPr>
          <w:rFonts w:ascii="Times New Roman" w:hAnsi="Times New Roman"/>
          <w:sz w:val="24"/>
        </w:rPr>
        <w:t xml:space="preserve"> und hat letztendlich keine Aussagekraft, es sei denn, man unterstellt, daß der / die Eigentümer landwirtschaftlicher Betriebe immer auf dem Betrieb oder in Betriebsnähe wohnen müssen.</w:t>
      </w:r>
      <w:r w:rsidR="00F51A59">
        <w:rPr>
          <w:rFonts w:ascii="Times New Roman" w:hAnsi="Times New Roman"/>
          <w:sz w:val="24"/>
        </w:rPr>
        <w:t xml:space="preserve"> Die ausreichende Bindung zur Gemeinde wiederspricht den Urteilen des EuGH, sie wird als unverhältnismäßig bezeichnet. Warum trotzdem in der Studie als Kriterium?</w:t>
      </w:r>
    </w:p>
    <w:p w:rsidR="00C63241" w:rsidRPr="00C63241" w:rsidRDefault="00C63241" w:rsidP="00C63241">
      <w:pPr>
        <w:spacing w:after="0" w:line="240" w:lineRule="auto"/>
        <w:ind w:left="426"/>
        <w:rPr>
          <w:rFonts w:ascii="Times New Roman" w:hAnsi="Times New Roman"/>
          <w:sz w:val="24"/>
        </w:rPr>
      </w:pPr>
      <w:r>
        <w:rPr>
          <w:rFonts w:ascii="Times New Roman" w:hAnsi="Times New Roman"/>
          <w:sz w:val="24"/>
        </w:rPr>
        <w:t xml:space="preserve">Es wird wie folgt </w:t>
      </w:r>
      <w:r w:rsidR="00254889">
        <w:rPr>
          <w:rFonts w:ascii="Times New Roman" w:hAnsi="Times New Roman"/>
          <w:sz w:val="24"/>
        </w:rPr>
        <w:t xml:space="preserve">nach Wohnort </w:t>
      </w:r>
      <w:r>
        <w:rPr>
          <w:rFonts w:ascii="Times New Roman" w:hAnsi="Times New Roman"/>
          <w:sz w:val="24"/>
        </w:rPr>
        <w:t>segmentiert:</w:t>
      </w:r>
    </w:p>
    <w:p w:rsidR="0082669E" w:rsidRPr="0082669E" w:rsidRDefault="0082669E" w:rsidP="00C63241">
      <w:pPr>
        <w:numPr>
          <w:ilvl w:val="0"/>
          <w:numId w:val="1"/>
        </w:numPr>
        <w:spacing w:after="0" w:line="240" w:lineRule="auto"/>
        <w:contextualSpacing/>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Ortsansässige Kapitaleigentümer</w:t>
      </w:r>
      <w:r w:rsidRPr="0082669E">
        <w:rPr>
          <w:rFonts w:ascii="Times New Roman" w:eastAsia="Times New Roman" w:hAnsi="Times New Roman" w:cs="Times New Roman"/>
          <w:sz w:val="24"/>
          <w:szCs w:val="24"/>
          <w:lang w:eastAsia="de-DE"/>
        </w:rPr>
        <w:t xml:space="preserve"> mit Wohnort im Radius bis 50 km vom Unternehmenssitz</w:t>
      </w:r>
    </w:p>
    <w:p w:rsidR="0082669E" w:rsidRPr="0082669E" w:rsidRDefault="0082669E" w:rsidP="00C63241">
      <w:pPr>
        <w:numPr>
          <w:ilvl w:val="0"/>
          <w:numId w:val="1"/>
        </w:numPr>
        <w:spacing w:after="0" w:line="240" w:lineRule="auto"/>
        <w:contextualSpacing/>
        <w:rPr>
          <w:rFonts w:ascii="Times New Roman" w:eastAsia="Times New Roman" w:hAnsi="Times New Roman" w:cs="Times New Roman"/>
          <w:sz w:val="24"/>
          <w:szCs w:val="24"/>
          <w:lang w:eastAsia="de-DE"/>
        </w:rPr>
      </w:pPr>
      <w:r w:rsidRPr="0082669E">
        <w:rPr>
          <w:rFonts w:ascii="Times New Roman" w:eastAsia="Times New Roman" w:hAnsi="Times New Roman" w:cs="Times New Roman"/>
          <w:sz w:val="24"/>
          <w:szCs w:val="24"/>
          <w:lang w:eastAsia="de-DE"/>
        </w:rPr>
        <w:t>L</w:t>
      </w:r>
      <w:r>
        <w:rPr>
          <w:rFonts w:ascii="Times New Roman" w:eastAsia="Times New Roman" w:hAnsi="Times New Roman" w:cs="Times New Roman"/>
          <w:sz w:val="24"/>
          <w:szCs w:val="24"/>
          <w:lang w:eastAsia="de-DE"/>
        </w:rPr>
        <w:t>andwirtschaftsnahe Kapitaleigentümer</w:t>
      </w:r>
      <w:r w:rsidRPr="0082669E">
        <w:rPr>
          <w:rFonts w:ascii="Times New Roman" w:eastAsia="Times New Roman" w:hAnsi="Times New Roman" w:cs="Times New Roman"/>
          <w:sz w:val="24"/>
          <w:szCs w:val="24"/>
          <w:lang w:eastAsia="de-DE"/>
        </w:rPr>
        <w:t xml:space="preserve"> mit Wohnort im Radius über 50 km vom Unternehmenssitz</w:t>
      </w:r>
      <w:r>
        <w:rPr>
          <w:rFonts w:ascii="Times New Roman" w:eastAsia="Times New Roman" w:hAnsi="Times New Roman" w:cs="Times New Roman"/>
          <w:sz w:val="24"/>
          <w:szCs w:val="24"/>
          <w:lang w:eastAsia="de-DE"/>
        </w:rPr>
        <w:t xml:space="preserve"> und mit weiteren nachweisbaren wirtschaftlichen Aktivitäten</w:t>
      </w:r>
    </w:p>
    <w:p w:rsidR="0082669E" w:rsidRPr="0082669E" w:rsidRDefault="0082669E" w:rsidP="00C63241">
      <w:pPr>
        <w:numPr>
          <w:ilvl w:val="0"/>
          <w:numId w:val="1"/>
        </w:numPr>
        <w:spacing w:after="0" w:line="240" w:lineRule="auto"/>
        <w:contextualSpacing/>
        <w:rPr>
          <w:rFonts w:ascii="Times New Roman" w:eastAsia="Times New Roman" w:hAnsi="Times New Roman" w:cs="Times New Roman"/>
          <w:sz w:val="24"/>
          <w:szCs w:val="24"/>
          <w:lang w:eastAsia="de-DE"/>
        </w:rPr>
      </w:pPr>
      <w:r w:rsidRPr="0082669E">
        <w:rPr>
          <w:rFonts w:ascii="Times New Roman" w:eastAsia="Times New Roman" w:hAnsi="Times New Roman" w:cs="Times New Roman"/>
          <w:sz w:val="24"/>
          <w:szCs w:val="24"/>
          <w:lang w:eastAsia="de-DE"/>
        </w:rPr>
        <w:t>Nic</w:t>
      </w:r>
      <w:r w:rsidR="005B2AAD">
        <w:rPr>
          <w:rFonts w:ascii="Times New Roman" w:eastAsia="Times New Roman" w:hAnsi="Times New Roman" w:cs="Times New Roman"/>
          <w:sz w:val="24"/>
          <w:szCs w:val="24"/>
          <w:lang w:eastAsia="de-DE"/>
        </w:rPr>
        <w:t>htlandwirtschaftliche Kapitaleigentümer</w:t>
      </w:r>
      <w:r w:rsidRPr="0082669E">
        <w:rPr>
          <w:rFonts w:ascii="Times New Roman" w:eastAsia="Times New Roman" w:hAnsi="Times New Roman" w:cs="Times New Roman"/>
          <w:sz w:val="24"/>
          <w:szCs w:val="24"/>
          <w:lang w:eastAsia="de-DE"/>
        </w:rPr>
        <w:t xml:space="preserve"> mit Wohnort im Radius über 50 km vom Unternehmenssitz</w:t>
      </w:r>
      <w:r w:rsidR="005B2AAD">
        <w:rPr>
          <w:rFonts w:ascii="Times New Roman" w:eastAsia="Times New Roman" w:hAnsi="Times New Roman" w:cs="Times New Roman"/>
          <w:sz w:val="24"/>
          <w:szCs w:val="24"/>
          <w:lang w:eastAsia="de-DE"/>
        </w:rPr>
        <w:t xml:space="preserve"> und mit weiteren nachweisbaren wirtschaftlichen Aktivitäten</w:t>
      </w:r>
    </w:p>
    <w:p w:rsidR="003576DF" w:rsidRDefault="005B2AAD" w:rsidP="00C63241">
      <w:pPr>
        <w:spacing w:after="0" w:line="240" w:lineRule="auto"/>
        <w:ind w:left="426"/>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Innerhalb dieser drei Gruppen werden weiter</w:t>
      </w:r>
      <w:r w:rsidR="00C63241">
        <w:rPr>
          <w:rFonts w:ascii="Times New Roman" w:eastAsia="Times New Roman" w:hAnsi="Times New Roman" w:cs="Times New Roman"/>
          <w:sz w:val="24"/>
          <w:szCs w:val="24"/>
          <w:lang w:eastAsia="de-DE"/>
        </w:rPr>
        <w:t>e</w:t>
      </w:r>
      <w:r>
        <w:rPr>
          <w:rFonts w:ascii="Times New Roman" w:eastAsia="Times New Roman" w:hAnsi="Times New Roman" w:cs="Times New Roman"/>
          <w:sz w:val="24"/>
          <w:szCs w:val="24"/>
          <w:lang w:eastAsia="de-DE"/>
        </w:rPr>
        <w:t xml:space="preserve"> acht Gruppen gebildet – das klingt gut, hat aber keine echte Aussagekraft, weil – und das ist ein </w:t>
      </w:r>
      <w:r w:rsidR="00C63241">
        <w:rPr>
          <w:rFonts w:ascii="Times New Roman" w:eastAsia="Times New Roman" w:hAnsi="Times New Roman" w:cs="Times New Roman"/>
          <w:sz w:val="24"/>
          <w:szCs w:val="24"/>
          <w:lang w:eastAsia="de-DE"/>
        </w:rPr>
        <w:t>weiterer gravierender</w:t>
      </w:r>
      <w:r w:rsidRPr="005B2AAD">
        <w:rPr>
          <w:rFonts w:ascii="Times New Roman" w:eastAsia="Times New Roman" w:hAnsi="Times New Roman" w:cs="Times New Roman"/>
          <w:sz w:val="24"/>
          <w:szCs w:val="24"/>
          <w:lang w:eastAsia="de-DE"/>
        </w:rPr>
        <w:t xml:space="preserve"> Mangel der Studie</w:t>
      </w:r>
      <w:r w:rsidR="00E459B3">
        <w:rPr>
          <w:rFonts w:ascii="Times New Roman" w:eastAsia="Times New Roman" w:hAnsi="Times New Roman" w:cs="Times New Roman"/>
          <w:sz w:val="24"/>
          <w:szCs w:val="24"/>
          <w:lang w:eastAsia="de-DE"/>
        </w:rPr>
        <w:t xml:space="preserve"> -</w:t>
      </w:r>
      <w:r w:rsidR="003576DF">
        <w:rPr>
          <w:rFonts w:ascii="Times New Roman" w:eastAsia="Times New Roman" w:hAnsi="Times New Roman" w:cs="Times New Roman"/>
          <w:sz w:val="24"/>
          <w:szCs w:val="24"/>
          <w:lang w:eastAsia="de-DE"/>
        </w:rPr>
        <w:t xml:space="preserve"> d</w:t>
      </w:r>
      <w:r w:rsidRPr="005B2AAD">
        <w:rPr>
          <w:rFonts w:ascii="Times New Roman" w:eastAsia="Times New Roman" w:hAnsi="Times New Roman" w:cs="Times New Roman"/>
          <w:sz w:val="24"/>
          <w:szCs w:val="24"/>
          <w:lang w:eastAsia="de-DE"/>
        </w:rPr>
        <w:t xml:space="preserve">er familiäre Hintergrund der </w:t>
      </w:r>
      <w:r w:rsidR="003576DF">
        <w:rPr>
          <w:rFonts w:ascii="Times New Roman" w:eastAsia="Times New Roman" w:hAnsi="Times New Roman" w:cs="Times New Roman"/>
          <w:sz w:val="24"/>
          <w:szCs w:val="24"/>
          <w:lang w:eastAsia="de-DE"/>
        </w:rPr>
        <w:t>Kapitaleigentümer</w:t>
      </w:r>
      <w:r w:rsidRPr="005B2AAD">
        <w:rPr>
          <w:rFonts w:ascii="Times New Roman" w:eastAsia="Times New Roman" w:hAnsi="Times New Roman" w:cs="Times New Roman"/>
          <w:sz w:val="24"/>
          <w:szCs w:val="24"/>
          <w:lang w:eastAsia="de-DE"/>
        </w:rPr>
        <w:t xml:space="preserve"> nicht untersucht</w:t>
      </w:r>
      <w:r w:rsidR="003576DF">
        <w:rPr>
          <w:rFonts w:ascii="Times New Roman" w:eastAsia="Times New Roman" w:hAnsi="Times New Roman" w:cs="Times New Roman"/>
          <w:sz w:val="24"/>
          <w:szCs w:val="24"/>
          <w:lang w:eastAsia="de-DE"/>
        </w:rPr>
        <w:t xml:space="preserve"> wird</w:t>
      </w:r>
      <w:r w:rsidRPr="005B2AAD">
        <w:rPr>
          <w:rFonts w:ascii="Times New Roman" w:eastAsia="Times New Roman" w:hAnsi="Times New Roman" w:cs="Times New Roman"/>
          <w:sz w:val="24"/>
          <w:szCs w:val="24"/>
          <w:lang w:eastAsia="de-DE"/>
        </w:rPr>
        <w:t xml:space="preserve">. Auf der Basis der Erfahrungen des Autors seit der Wende haben fast alle sogenannten Großinvestoren in der Familientradition einen landwirtschaftlichen Hintergrund, der aus vielerlei Gründen abgebrochen war. </w:t>
      </w:r>
    </w:p>
    <w:p w:rsidR="00E459B3" w:rsidRDefault="003576DF" w:rsidP="00C63241">
      <w:pPr>
        <w:spacing w:after="0" w:line="240" w:lineRule="auto"/>
        <w:ind w:left="426"/>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können beispielsweise Unternehmerfamilien sein, das können in der Bodenreform vertriebene adlige und nichtadlige Gutsherren bzw. deren Nachfahren sein. </w:t>
      </w:r>
      <w:r w:rsidR="00E459B3">
        <w:rPr>
          <w:rFonts w:ascii="Times New Roman" w:eastAsia="Times New Roman" w:hAnsi="Times New Roman" w:cs="Times New Roman"/>
          <w:sz w:val="24"/>
          <w:szCs w:val="24"/>
          <w:lang w:eastAsia="de-DE"/>
        </w:rPr>
        <w:t xml:space="preserve">Das können aber </w:t>
      </w:r>
      <w:r w:rsidR="008556DD">
        <w:rPr>
          <w:rFonts w:ascii="Times New Roman" w:eastAsia="Times New Roman" w:hAnsi="Times New Roman" w:cs="Times New Roman"/>
          <w:sz w:val="24"/>
          <w:szCs w:val="24"/>
          <w:lang w:eastAsia="de-DE"/>
        </w:rPr>
        <w:t>Personen sein, deren Vorfahren</w:t>
      </w:r>
      <w:r w:rsidR="00E459B3">
        <w:rPr>
          <w:rFonts w:ascii="Times New Roman" w:eastAsia="Times New Roman" w:hAnsi="Times New Roman" w:cs="Times New Roman"/>
          <w:sz w:val="24"/>
          <w:szCs w:val="24"/>
          <w:lang w:eastAsia="de-DE"/>
        </w:rPr>
        <w:t xml:space="preserve"> den Hof nicht übernehmen konnten, weil es ältere Geschwister gab. </w:t>
      </w:r>
    </w:p>
    <w:p w:rsidR="005B2AAD" w:rsidRPr="005B2AAD" w:rsidRDefault="005B2AAD" w:rsidP="00C63241">
      <w:pPr>
        <w:spacing w:after="0" w:line="240" w:lineRule="auto"/>
        <w:ind w:left="426"/>
        <w:rPr>
          <w:rFonts w:ascii="Times New Roman" w:hAnsi="Times New Roman" w:cs="Times New Roman"/>
          <w:sz w:val="24"/>
          <w:szCs w:val="24"/>
        </w:rPr>
      </w:pPr>
      <w:r w:rsidRPr="005B2AAD">
        <w:rPr>
          <w:rFonts w:ascii="Times New Roman" w:eastAsia="Times New Roman" w:hAnsi="Times New Roman" w:cs="Times New Roman"/>
          <w:sz w:val="24"/>
          <w:szCs w:val="24"/>
          <w:lang w:eastAsia="de-DE"/>
        </w:rPr>
        <w:t xml:space="preserve">Die Investition des ganzen oder eines Teils des Vermögens bedeutet also eine Rückkehr zu den landwirtschaftlichen Wurzeln der Familie. </w:t>
      </w:r>
    </w:p>
    <w:p w:rsidR="005B2AAD" w:rsidRPr="005B2AAD" w:rsidRDefault="005B2AAD" w:rsidP="00C63241">
      <w:pPr>
        <w:spacing w:after="0" w:line="240" w:lineRule="auto"/>
        <w:ind w:left="426"/>
        <w:rPr>
          <w:rFonts w:ascii="Times New Roman" w:eastAsia="Times New Roman" w:hAnsi="Times New Roman" w:cs="Times New Roman"/>
          <w:sz w:val="24"/>
          <w:szCs w:val="24"/>
          <w:lang w:eastAsia="de-DE"/>
        </w:rPr>
      </w:pPr>
      <w:r w:rsidRPr="005B2AAD">
        <w:rPr>
          <w:rFonts w:ascii="Times New Roman" w:eastAsia="Times New Roman" w:hAnsi="Times New Roman" w:cs="Times New Roman"/>
          <w:sz w:val="24"/>
          <w:szCs w:val="24"/>
          <w:lang w:eastAsia="de-DE"/>
        </w:rPr>
        <w:t>Selten findet man Parvenüs, die sich mal eben ein Landgut mit schickem Schlößchen oder Gutshaus gönnen.</w:t>
      </w:r>
    </w:p>
    <w:p w:rsidR="005B2AAD" w:rsidRPr="005B2AAD" w:rsidRDefault="005B2AAD" w:rsidP="00C63241">
      <w:pPr>
        <w:spacing w:after="0" w:line="240" w:lineRule="auto"/>
        <w:ind w:left="426"/>
        <w:rPr>
          <w:rFonts w:ascii="Times New Roman" w:eastAsia="Times New Roman" w:hAnsi="Times New Roman" w:cs="Times New Roman"/>
          <w:sz w:val="24"/>
          <w:szCs w:val="24"/>
          <w:lang w:eastAsia="de-DE"/>
        </w:rPr>
      </w:pPr>
      <w:r w:rsidRPr="005B2AAD">
        <w:rPr>
          <w:rFonts w:ascii="Times New Roman" w:eastAsia="Times New Roman" w:hAnsi="Times New Roman" w:cs="Times New Roman"/>
          <w:sz w:val="24"/>
          <w:szCs w:val="24"/>
          <w:lang w:eastAsia="de-DE"/>
        </w:rPr>
        <w:t>Diese vermeintlich nichtlandwirtschaftlichen Investoren bringen sich oft stärker in ihr Umfeld ein als lokale Betriebe: Kirchen, Friedhöfe werden saniert und wieder geöffnet, Immobilien und öffentliche Einrichtungen – historische oder andere – werden saniert, man nimmt aktiv an der lokalen Politik teil.</w:t>
      </w:r>
    </w:p>
    <w:p w:rsidR="008637A2" w:rsidRDefault="003576DF" w:rsidP="00C63241">
      <w:pPr>
        <w:spacing w:after="0" w:line="240" w:lineRule="auto"/>
        <w:ind w:left="426"/>
        <w:rPr>
          <w:rFonts w:ascii="Times New Roman" w:hAnsi="Times New Roman" w:cs="Times New Roman"/>
          <w:sz w:val="24"/>
          <w:szCs w:val="24"/>
        </w:rPr>
      </w:pPr>
      <w:r>
        <w:rPr>
          <w:rFonts w:ascii="Times New Roman" w:hAnsi="Times New Roman" w:cs="Times New Roman"/>
          <w:sz w:val="24"/>
          <w:szCs w:val="24"/>
        </w:rPr>
        <w:t>Im Bericht der Bundesregierung werden sie als Filialbetriebs-Konzerne (eine tolle Wortschöpfung!) benannt, die Arbeitsplätze und Wertschöpfung aus der Region abziehen. Eine unbewiesene Behauptung</w:t>
      </w:r>
      <w:r w:rsidR="00E459B3">
        <w:rPr>
          <w:rFonts w:ascii="Times New Roman" w:hAnsi="Times New Roman" w:cs="Times New Roman"/>
          <w:sz w:val="24"/>
          <w:szCs w:val="24"/>
        </w:rPr>
        <w:t>.</w:t>
      </w:r>
    </w:p>
    <w:p w:rsidR="00C63241" w:rsidRDefault="00C63241" w:rsidP="008556DD">
      <w:pPr>
        <w:spacing w:after="0"/>
        <w:rPr>
          <w:rFonts w:ascii="Times New Roman" w:hAnsi="Times New Roman" w:cs="Times New Roman"/>
          <w:sz w:val="24"/>
          <w:szCs w:val="24"/>
        </w:rPr>
      </w:pPr>
    </w:p>
    <w:p w:rsidR="00E459B3" w:rsidRDefault="00C63241" w:rsidP="008556DD">
      <w:pPr>
        <w:spacing w:after="0"/>
        <w:rPr>
          <w:rFonts w:ascii="Times New Roman" w:hAnsi="Times New Roman" w:cs="Times New Roman"/>
          <w:sz w:val="24"/>
          <w:szCs w:val="24"/>
        </w:rPr>
      </w:pPr>
      <w:r>
        <w:rPr>
          <w:rFonts w:ascii="Times New Roman" w:hAnsi="Times New Roman" w:cs="Times New Roman"/>
          <w:sz w:val="24"/>
          <w:szCs w:val="24"/>
        </w:rPr>
        <w:t>Unbeantwortet in der</w:t>
      </w:r>
      <w:r w:rsidR="00E459B3">
        <w:rPr>
          <w:rFonts w:ascii="Times New Roman" w:hAnsi="Times New Roman" w:cs="Times New Roman"/>
          <w:sz w:val="24"/>
          <w:szCs w:val="24"/>
        </w:rPr>
        <w:t xml:space="preserve"> </w:t>
      </w:r>
      <w:proofErr w:type="spellStart"/>
      <w:r w:rsidR="00E459B3">
        <w:rPr>
          <w:rFonts w:ascii="Times New Roman" w:hAnsi="Times New Roman" w:cs="Times New Roman"/>
          <w:sz w:val="24"/>
          <w:szCs w:val="24"/>
        </w:rPr>
        <w:t>Thünen</w:t>
      </w:r>
      <w:proofErr w:type="spellEnd"/>
      <w:r w:rsidR="00E459B3">
        <w:rPr>
          <w:rFonts w:ascii="Times New Roman" w:hAnsi="Times New Roman" w:cs="Times New Roman"/>
          <w:sz w:val="24"/>
          <w:szCs w:val="24"/>
        </w:rPr>
        <w:t>-Stu</w:t>
      </w:r>
      <w:r w:rsidR="008556DD">
        <w:rPr>
          <w:rFonts w:ascii="Times New Roman" w:hAnsi="Times New Roman" w:cs="Times New Roman"/>
          <w:sz w:val="24"/>
          <w:szCs w:val="24"/>
        </w:rPr>
        <w:t>die, die</w:t>
      </w:r>
      <w:r w:rsidR="00E459B3">
        <w:rPr>
          <w:rFonts w:ascii="Times New Roman" w:hAnsi="Times New Roman" w:cs="Times New Roman"/>
          <w:sz w:val="24"/>
          <w:szCs w:val="24"/>
        </w:rPr>
        <w:t xml:space="preserve"> sich auf die Sicht des vermuteten Autors zum Thema nachhaltige Agrarstruktur auswirkt, sind zwei Fragen: </w:t>
      </w:r>
    </w:p>
    <w:p w:rsidR="008637A2" w:rsidRDefault="00E459B3" w:rsidP="008556DD">
      <w:pPr>
        <w:pStyle w:val="Listenabsatz"/>
        <w:numPr>
          <w:ilvl w:val="0"/>
          <w:numId w:val="2"/>
        </w:numPr>
        <w:spacing w:after="0"/>
        <w:rPr>
          <w:rFonts w:ascii="Times New Roman" w:hAnsi="Times New Roman" w:cs="Times New Roman"/>
          <w:sz w:val="24"/>
          <w:szCs w:val="24"/>
        </w:rPr>
      </w:pPr>
      <w:r w:rsidRPr="00E459B3">
        <w:rPr>
          <w:rFonts w:ascii="Times New Roman" w:hAnsi="Times New Roman" w:cs="Times New Roman"/>
          <w:sz w:val="24"/>
          <w:szCs w:val="24"/>
        </w:rPr>
        <w:t xml:space="preserve">Warum </w:t>
      </w:r>
      <w:r w:rsidR="00C63241">
        <w:rPr>
          <w:rFonts w:ascii="Times New Roman" w:hAnsi="Times New Roman" w:cs="Times New Roman"/>
          <w:sz w:val="24"/>
          <w:szCs w:val="24"/>
        </w:rPr>
        <w:t>werden</w:t>
      </w:r>
      <w:r w:rsidRPr="00E459B3">
        <w:rPr>
          <w:rFonts w:ascii="Times New Roman" w:hAnsi="Times New Roman" w:cs="Times New Roman"/>
          <w:sz w:val="24"/>
          <w:szCs w:val="24"/>
        </w:rPr>
        <w:t xml:space="preserve"> Betrieb</w:t>
      </w:r>
      <w:r w:rsidR="00C63241">
        <w:rPr>
          <w:rFonts w:ascii="Times New Roman" w:hAnsi="Times New Roman" w:cs="Times New Roman"/>
          <w:sz w:val="24"/>
          <w:szCs w:val="24"/>
        </w:rPr>
        <w:t>e</w:t>
      </w:r>
      <w:r w:rsidRPr="00E459B3">
        <w:rPr>
          <w:rFonts w:ascii="Times New Roman" w:hAnsi="Times New Roman" w:cs="Times New Roman"/>
          <w:sz w:val="24"/>
          <w:szCs w:val="24"/>
        </w:rPr>
        <w:t xml:space="preserve"> verkauft?</w:t>
      </w:r>
    </w:p>
    <w:p w:rsidR="00E459B3" w:rsidRPr="00E459B3" w:rsidRDefault="00E459B3" w:rsidP="008556DD">
      <w:pPr>
        <w:pStyle w:val="Listenabsatz"/>
        <w:numPr>
          <w:ilvl w:val="0"/>
          <w:numId w:val="2"/>
        </w:numPr>
        <w:spacing w:after="0"/>
        <w:rPr>
          <w:rFonts w:ascii="Times New Roman" w:hAnsi="Times New Roman" w:cs="Times New Roman"/>
          <w:sz w:val="24"/>
          <w:szCs w:val="24"/>
        </w:rPr>
      </w:pPr>
      <w:r>
        <w:rPr>
          <w:rFonts w:ascii="Times New Roman" w:hAnsi="Times New Roman" w:cs="Times New Roman"/>
          <w:sz w:val="24"/>
          <w:szCs w:val="24"/>
        </w:rPr>
        <w:t>Warum haben „überregionale, teilweise branchenfremde Finanzinvestoren</w:t>
      </w:r>
      <w:r w:rsidR="008556DD">
        <w:rPr>
          <w:rFonts w:ascii="Times New Roman" w:hAnsi="Times New Roman" w:cs="Times New Roman"/>
          <w:sz w:val="24"/>
          <w:szCs w:val="24"/>
        </w:rPr>
        <w:t>“ gekauft?</w:t>
      </w:r>
    </w:p>
    <w:p w:rsidR="00E459B3" w:rsidRDefault="00E459B3" w:rsidP="008556DD">
      <w:pPr>
        <w:spacing w:after="0"/>
        <w:rPr>
          <w:rFonts w:ascii="Times New Roman" w:hAnsi="Times New Roman" w:cs="Times New Roman"/>
          <w:sz w:val="24"/>
          <w:szCs w:val="24"/>
        </w:rPr>
      </w:pPr>
    </w:p>
    <w:p w:rsidR="005949A0" w:rsidRDefault="005949A0" w:rsidP="008556DD">
      <w:pPr>
        <w:spacing w:after="0"/>
        <w:rPr>
          <w:rFonts w:ascii="Times New Roman" w:hAnsi="Times New Roman" w:cs="Times New Roman"/>
          <w:sz w:val="24"/>
          <w:szCs w:val="24"/>
        </w:rPr>
      </w:pPr>
      <w:r>
        <w:rPr>
          <w:rFonts w:ascii="Times New Roman" w:hAnsi="Times New Roman" w:cs="Times New Roman"/>
          <w:sz w:val="24"/>
          <w:szCs w:val="24"/>
        </w:rPr>
        <w:lastRenderedPageBreak/>
        <w:t>Zu 1.</w:t>
      </w:r>
    </w:p>
    <w:p w:rsidR="005949A0" w:rsidRDefault="005949A0" w:rsidP="008556DD">
      <w:pPr>
        <w:pStyle w:val="Listenabsatz"/>
        <w:numPr>
          <w:ilvl w:val="0"/>
          <w:numId w:val="3"/>
        </w:numPr>
        <w:spacing w:after="0"/>
        <w:rPr>
          <w:rFonts w:ascii="Times New Roman" w:hAnsi="Times New Roman" w:cs="Times New Roman"/>
          <w:sz w:val="24"/>
          <w:szCs w:val="24"/>
        </w:rPr>
      </w:pPr>
      <w:r w:rsidRPr="005949A0">
        <w:rPr>
          <w:rFonts w:ascii="Times New Roman" w:hAnsi="Times New Roman" w:cs="Times New Roman"/>
          <w:sz w:val="24"/>
          <w:szCs w:val="24"/>
        </w:rPr>
        <w:t>Die Inhaber der Betriebe, meistens aus der Umwandlung der LPG entstanden, denken nicht in Gen</w:t>
      </w:r>
      <w:r w:rsidR="00095575">
        <w:rPr>
          <w:rFonts w:ascii="Times New Roman" w:hAnsi="Times New Roman" w:cs="Times New Roman"/>
          <w:sz w:val="24"/>
          <w:szCs w:val="24"/>
        </w:rPr>
        <w:t>e</w:t>
      </w:r>
      <w:r w:rsidRPr="005949A0">
        <w:rPr>
          <w:rFonts w:ascii="Times New Roman" w:hAnsi="Times New Roman" w:cs="Times New Roman"/>
          <w:sz w:val="24"/>
          <w:szCs w:val="24"/>
        </w:rPr>
        <w:t xml:space="preserve">rationen. </w:t>
      </w:r>
    </w:p>
    <w:p w:rsidR="005949A0" w:rsidRPr="005949A0" w:rsidRDefault="005949A0" w:rsidP="005949A0">
      <w:pPr>
        <w:pStyle w:val="Listenabsatz"/>
        <w:spacing w:after="0"/>
        <w:ind w:left="360"/>
        <w:rPr>
          <w:rFonts w:ascii="Times New Roman" w:hAnsi="Times New Roman" w:cs="Times New Roman"/>
          <w:sz w:val="24"/>
          <w:szCs w:val="24"/>
        </w:rPr>
      </w:pPr>
      <w:r w:rsidRPr="005949A0">
        <w:rPr>
          <w:rFonts w:ascii="Times New Roman" w:hAnsi="Times New Roman" w:cs="Times New Roman"/>
          <w:sz w:val="24"/>
          <w:szCs w:val="24"/>
        </w:rPr>
        <w:t>Das können sie auch nicht, weil sie nach Berechnung des Mecklenburger Bauernverbands bei der Sozialversicherung seit der Wende ein Rentenanrecht von nur 250 - 280 € erworben haben. Wer unter diesen Bedingungen eine zweite Rente durch Verkauf haben will, ist zu verstehen.</w:t>
      </w:r>
    </w:p>
    <w:p w:rsidR="005949A0" w:rsidRDefault="005949A0" w:rsidP="005949A0">
      <w:pPr>
        <w:pStyle w:val="Listenabsatz"/>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Die </w:t>
      </w:r>
      <w:r w:rsidR="00C63241">
        <w:rPr>
          <w:rFonts w:ascii="Times New Roman" w:hAnsi="Times New Roman" w:cs="Times New Roman"/>
          <w:sz w:val="24"/>
          <w:szCs w:val="24"/>
        </w:rPr>
        <w:t>Betriebe</w:t>
      </w:r>
      <w:r>
        <w:rPr>
          <w:rFonts w:ascii="Times New Roman" w:hAnsi="Times New Roman" w:cs="Times New Roman"/>
          <w:sz w:val="24"/>
          <w:szCs w:val="24"/>
        </w:rPr>
        <w:t xml:space="preserve"> jeglicher Rechtsform haben sich mit Eigentumsland vollg</w:t>
      </w:r>
      <w:r w:rsidR="00C63241">
        <w:rPr>
          <w:rFonts w:ascii="Times New Roman" w:hAnsi="Times New Roman" w:cs="Times New Roman"/>
          <w:sz w:val="24"/>
          <w:szCs w:val="24"/>
        </w:rPr>
        <w:t>e</w:t>
      </w:r>
      <w:r>
        <w:rPr>
          <w:rFonts w:ascii="Times New Roman" w:hAnsi="Times New Roman" w:cs="Times New Roman"/>
          <w:sz w:val="24"/>
          <w:szCs w:val="24"/>
        </w:rPr>
        <w:t xml:space="preserve">sogen. </w:t>
      </w:r>
      <w:r w:rsidR="00747A36">
        <w:rPr>
          <w:rFonts w:ascii="Times New Roman" w:hAnsi="Times New Roman" w:cs="Times New Roman"/>
          <w:sz w:val="24"/>
          <w:szCs w:val="24"/>
        </w:rPr>
        <w:t xml:space="preserve">Das </w:t>
      </w:r>
      <w:r>
        <w:rPr>
          <w:rFonts w:ascii="Times New Roman" w:hAnsi="Times New Roman" w:cs="Times New Roman"/>
          <w:sz w:val="24"/>
          <w:szCs w:val="24"/>
        </w:rPr>
        <w:t>Land wurde erworben durch</w:t>
      </w:r>
      <w:r w:rsidR="00C63241">
        <w:rPr>
          <w:rFonts w:ascii="Times New Roman" w:hAnsi="Times New Roman" w:cs="Times New Roman"/>
          <w:sz w:val="24"/>
          <w:szCs w:val="24"/>
        </w:rPr>
        <w:t xml:space="preserve"> L</w:t>
      </w:r>
      <w:r>
        <w:rPr>
          <w:rFonts w:ascii="Times New Roman" w:hAnsi="Times New Roman" w:cs="Times New Roman"/>
          <w:sz w:val="24"/>
          <w:szCs w:val="24"/>
        </w:rPr>
        <w:t>ohn- und Ausschüttu</w:t>
      </w:r>
      <w:r w:rsidR="00C63241">
        <w:rPr>
          <w:rFonts w:ascii="Times New Roman" w:hAnsi="Times New Roman" w:cs="Times New Roman"/>
          <w:sz w:val="24"/>
          <w:szCs w:val="24"/>
        </w:rPr>
        <w:t>n</w:t>
      </w:r>
      <w:r w:rsidR="00747A36">
        <w:rPr>
          <w:rFonts w:ascii="Times New Roman" w:hAnsi="Times New Roman" w:cs="Times New Roman"/>
          <w:sz w:val="24"/>
          <w:szCs w:val="24"/>
        </w:rPr>
        <w:t xml:space="preserve">gsverzicht </w:t>
      </w:r>
      <w:r>
        <w:rPr>
          <w:rFonts w:ascii="Times New Roman" w:hAnsi="Times New Roman" w:cs="Times New Roman"/>
          <w:sz w:val="24"/>
          <w:szCs w:val="24"/>
        </w:rPr>
        <w:t xml:space="preserve">der Mitglieder. </w:t>
      </w:r>
      <w:r w:rsidR="00C63241">
        <w:rPr>
          <w:rFonts w:ascii="Times New Roman" w:hAnsi="Times New Roman" w:cs="Times New Roman"/>
          <w:sz w:val="24"/>
          <w:szCs w:val="24"/>
        </w:rPr>
        <w:t xml:space="preserve">Eine durch Umwandlung entstandene Agrar-GmbH oder Agrar-eG hat heute oft locker einen Wert – bewertet man nur die Eigentumsflächen und den Pachtwert - von 15 bis 40 </w:t>
      </w:r>
      <w:proofErr w:type="spellStart"/>
      <w:r w:rsidR="00C63241">
        <w:rPr>
          <w:rFonts w:ascii="Times New Roman" w:hAnsi="Times New Roman" w:cs="Times New Roman"/>
          <w:sz w:val="24"/>
          <w:szCs w:val="24"/>
        </w:rPr>
        <w:t>Mio</w:t>
      </w:r>
      <w:proofErr w:type="spellEnd"/>
      <w:r w:rsidR="00C63241">
        <w:rPr>
          <w:rFonts w:ascii="Times New Roman" w:hAnsi="Times New Roman" w:cs="Times New Roman"/>
          <w:sz w:val="24"/>
          <w:szCs w:val="24"/>
        </w:rPr>
        <w:t xml:space="preserve"> €</w:t>
      </w:r>
      <w:r w:rsidR="00C759B2">
        <w:rPr>
          <w:rFonts w:ascii="Times New Roman" w:hAnsi="Times New Roman" w:cs="Times New Roman"/>
          <w:sz w:val="24"/>
          <w:szCs w:val="24"/>
        </w:rPr>
        <w:t xml:space="preserve">. </w:t>
      </w:r>
    </w:p>
    <w:p w:rsidR="00C759B2" w:rsidRPr="005949A0" w:rsidRDefault="00C759B2" w:rsidP="005949A0">
      <w:pPr>
        <w:pStyle w:val="Listenabsatz"/>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In der Agrar-GmbH können ausscheidende Gesellschafter noch angemessen abgefunden werden. In der Agrar-eG klafft eine </w:t>
      </w:r>
      <w:r w:rsidR="00747A36">
        <w:rPr>
          <w:rFonts w:ascii="Times New Roman" w:hAnsi="Times New Roman" w:cs="Times New Roman"/>
          <w:sz w:val="24"/>
          <w:szCs w:val="24"/>
        </w:rPr>
        <w:t>Gerechtigkeitslücke</w:t>
      </w:r>
      <w:r>
        <w:rPr>
          <w:rFonts w:ascii="Times New Roman" w:hAnsi="Times New Roman" w:cs="Times New Roman"/>
          <w:sz w:val="24"/>
          <w:szCs w:val="24"/>
        </w:rPr>
        <w:t>, den</w:t>
      </w:r>
      <w:r w:rsidR="00747A36">
        <w:rPr>
          <w:rFonts w:ascii="Times New Roman" w:hAnsi="Times New Roman" w:cs="Times New Roman"/>
          <w:sz w:val="24"/>
          <w:szCs w:val="24"/>
        </w:rPr>
        <w:t>n</w:t>
      </w:r>
      <w:r>
        <w:rPr>
          <w:rFonts w:ascii="Times New Roman" w:hAnsi="Times New Roman" w:cs="Times New Roman"/>
          <w:sz w:val="24"/>
          <w:szCs w:val="24"/>
        </w:rPr>
        <w:t xml:space="preserve"> das Mitglied verläßt bei Kündigung oder Tod arm seine reiche </w:t>
      </w:r>
      <w:r w:rsidR="00747A36">
        <w:rPr>
          <w:rFonts w:ascii="Times New Roman" w:hAnsi="Times New Roman" w:cs="Times New Roman"/>
          <w:sz w:val="24"/>
          <w:szCs w:val="24"/>
        </w:rPr>
        <w:t>Genossenschaft</w:t>
      </w:r>
      <w:r>
        <w:rPr>
          <w:rFonts w:ascii="Times New Roman" w:hAnsi="Times New Roman" w:cs="Times New Roman"/>
          <w:sz w:val="24"/>
          <w:szCs w:val="24"/>
        </w:rPr>
        <w:t>.</w:t>
      </w:r>
      <w:r w:rsidR="00747A36">
        <w:rPr>
          <w:rFonts w:ascii="Times New Roman" w:hAnsi="Times New Roman" w:cs="Times New Roman"/>
          <w:sz w:val="24"/>
          <w:szCs w:val="24"/>
        </w:rPr>
        <w:t xml:space="preserve"> Also beschließen alle gemeinsam den rechtzeitigen Verkauf, um noch etwas vom Leben zu haben.</w:t>
      </w:r>
    </w:p>
    <w:p w:rsidR="00E459B3" w:rsidRDefault="00747A36" w:rsidP="00747A36">
      <w:pPr>
        <w:spacing w:after="0" w:line="240" w:lineRule="auto"/>
        <w:rPr>
          <w:rFonts w:ascii="Times New Roman" w:hAnsi="Times New Roman" w:cs="Times New Roman"/>
          <w:sz w:val="24"/>
          <w:szCs w:val="24"/>
        </w:rPr>
      </w:pPr>
      <w:r>
        <w:rPr>
          <w:rFonts w:ascii="Times New Roman" w:hAnsi="Times New Roman" w:cs="Times New Roman"/>
          <w:sz w:val="24"/>
          <w:szCs w:val="24"/>
        </w:rPr>
        <w:t>Zu 2:</w:t>
      </w:r>
    </w:p>
    <w:p w:rsidR="00747A36" w:rsidRPr="00615BD6" w:rsidRDefault="00747A36" w:rsidP="00615BD6">
      <w:pPr>
        <w:pStyle w:val="Listenabsatz"/>
        <w:numPr>
          <w:ilvl w:val="0"/>
          <w:numId w:val="6"/>
        </w:numPr>
        <w:spacing w:after="0" w:line="240" w:lineRule="auto"/>
        <w:ind w:left="360"/>
        <w:rPr>
          <w:rFonts w:ascii="Times New Roman" w:hAnsi="Times New Roman" w:cs="Times New Roman"/>
          <w:sz w:val="24"/>
          <w:szCs w:val="24"/>
        </w:rPr>
      </w:pPr>
      <w:r w:rsidRPr="00615BD6">
        <w:rPr>
          <w:rFonts w:ascii="Times New Roman" w:hAnsi="Times New Roman" w:cs="Times New Roman"/>
          <w:sz w:val="24"/>
          <w:szCs w:val="24"/>
        </w:rPr>
        <w:t>Ob der Eigentumsanteil des zu verkaufenden Unterneh</w:t>
      </w:r>
      <w:r w:rsidR="00254889">
        <w:rPr>
          <w:rFonts w:ascii="Times New Roman" w:hAnsi="Times New Roman" w:cs="Times New Roman"/>
          <w:sz w:val="24"/>
          <w:szCs w:val="24"/>
        </w:rPr>
        <w:t>mens nun 15 % oder 35</w:t>
      </w:r>
      <w:r w:rsidRPr="00615BD6">
        <w:rPr>
          <w:rFonts w:ascii="Times New Roman" w:hAnsi="Times New Roman" w:cs="Times New Roman"/>
          <w:sz w:val="24"/>
          <w:szCs w:val="24"/>
        </w:rPr>
        <w:t xml:space="preserve"> % beträgt, der Wert bei 15 oder 40 </w:t>
      </w:r>
      <w:proofErr w:type="spellStart"/>
      <w:r w:rsidRPr="00615BD6">
        <w:rPr>
          <w:rFonts w:ascii="Times New Roman" w:hAnsi="Times New Roman" w:cs="Times New Roman"/>
          <w:sz w:val="24"/>
          <w:szCs w:val="24"/>
        </w:rPr>
        <w:t>Mio</w:t>
      </w:r>
      <w:proofErr w:type="spellEnd"/>
      <w:r w:rsidR="00F51A59">
        <w:rPr>
          <w:rFonts w:ascii="Times New Roman" w:hAnsi="Times New Roman" w:cs="Times New Roman"/>
          <w:sz w:val="24"/>
          <w:szCs w:val="24"/>
        </w:rPr>
        <w:t xml:space="preserve"> €</w:t>
      </w:r>
      <w:r w:rsidRPr="00615BD6">
        <w:rPr>
          <w:rFonts w:ascii="Times New Roman" w:hAnsi="Times New Roman" w:cs="Times New Roman"/>
          <w:sz w:val="24"/>
          <w:szCs w:val="24"/>
        </w:rPr>
        <w:t xml:space="preserve"> liegt: Weder verbleibende Mitglieder noch andere </w:t>
      </w:r>
      <w:r w:rsidR="00615BD6" w:rsidRPr="00615BD6">
        <w:rPr>
          <w:rFonts w:ascii="Times New Roman" w:hAnsi="Times New Roman" w:cs="Times New Roman"/>
          <w:sz w:val="24"/>
          <w:szCs w:val="24"/>
        </w:rPr>
        <w:t xml:space="preserve">regionale </w:t>
      </w:r>
      <w:r w:rsidRPr="00615BD6">
        <w:rPr>
          <w:rFonts w:ascii="Times New Roman" w:hAnsi="Times New Roman" w:cs="Times New Roman"/>
          <w:sz w:val="24"/>
          <w:szCs w:val="24"/>
        </w:rPr>
        <w:t>Landwirte können sich den Kauf in der Regel nicht leisten.</w:t>
      </w:r>
    </w:p>
    <w:p w:rsidR="00747A36" w:rsidRPr="00615BD6" w:rsidRDefault="00747A36" w:rsidP="00615BD6">
      <w:pPr>
        <w:pStyle w:val="Listenabsatz"/>
        <w:spacing w:after="0" w:line="240" w:lineRule="auto"/>
        <w:ind w:left="360"/>
        <w:rPr>
          <w:rFonts w:ascii="Times New Roman" w:hAnsi="Times New Roman" w:cs="Times New Roman"/>
          <w:sz w:val="24"/>
          <w:szCs w:val="24"/>
        </w:rPr>
      </w:pPr>
      <w:r w:rsidRPr="00615BD6">
        <w:rPr>
          <w:rFonts w:ascii="Times New Roman" w:hAnsi="Times New Roman" w:cs="Times New Roman"/>
          <w:sz w:val="24"/>
          <w:szCs w:val="24"/>
        </w:rPr>
        <w:t>Selbst sogenannte planungsverdrängte Landwirte aus dem Westen, die üb</w:t>
      </w:r>
      <w:r w:rsidR="00615BD6" w:rsidRPr="00615BD6">
        <w:rPr>
          <w:rFonts w:ascii="Times New Roman" w:hAnsi="Times New Roman" w:cs="Times New Roman"/>
          <w:sz w:val="24"/>
          <w:szCs w:val="24"/>
        </w:rPr>
        <w:t>er</w:t>
      </w:r>
      <w:r w:rsidRPr="00615BD6">
        <w:rPr>
          <w:rFonts w:ascii="Times New Roman" w:hAnsi="Times New Roman" w:cs="Times New Roman"/>
          <w:sz w:val="24"/>
          <w:szCs w:val="24"/>
        </w:rPr>
        <w:t xml:space="preserve"> 6b-</w:t>
      </w:r>
      <w:r w:rsidR="00615BD6" w:rsidRPr="00615BD6">
        <w:rPr>
          <w:rFonts w:ascii="Times New Roman" w:hAnsi="Times New Roman" w:cs="Times New Roman"/>
          <w:sz w:val="24"/>
          <w:szCs w:val="24"/>
        </w:rPr>
        <w:t xml:space="preserve">Rücklagen verfügen, können sich </w:t>
      </w:r>
      <w:r w:rsidR="00095575">
        <w:rPr>
          <w:rFonts w:ascii="Times New Roman" w:hAnsi="Times New Roman" w:cs="Times New Roman"/>
          <w:sz w:val="24"/>
          <w:szCs w:val="24"/>
        </w:rPr>
        <w:t xml:space="preserve">meistens </w:t>
      </w:r>
      <w:r w:rsidR="00615BD6" w:rsidRPr="00615BD6">
        <w:rPr>
          <w:rFonts w:ascii="Times New Roman" w:hAnsi="Times New Roman" w:cs="Times New Roman"/>
          <w:sz w:val="24"/>
          <w:szCs w:val="24"/>
        </w:rPr>
        <w:t xml:space="preserve">diese </w:t>
      </w:r>
      <w:r w:rsidR="00095575">
        <w:rPr>
          <w:rFonts w:ascii="Times New Roman" w:hAnsi="Times New Roman" w:cs="Times New Roman"/>
          <w:sz w:val="24"/>
          <w:szCs w:val="24"/>
        </w:rPr>
        <w:t>Kaufpreise</w:t>
      </w:r>
      <w:r w:rsidR="00615BD6" w:rsidRPr="00615BD6">
        <w:rPr>
          <w:rFonts w:ascii="Times New Roman" w:hAnsi="Times New Roman" w:cs="Times New Roman"/>
          <w:sz w:val="24"/>
          <w:szCs w:val="24"/>
        </w:rPr>
        <w:t xml:space="preserve"> nicht leisten.</w:t>
      </w:r>
    </w:p>
    <w:p w:rsidR="00747A36" w:rsidRDefault="00747A36" w:rsidP="00615BD6">
      <w:pPr>
        <w:pStyle w:val="Listenabsatz"/>
        <w:ind w:left="360"/>
        <w:rPr>
          <w:rFonts w:ascii="Times New Roman" w:hAnsi="Times New Roman" w:cs="Times New Roman"/>
          <w:sz w:val="24"/>
          <w:szCs w:val="24"/>
        </w:rPr>
      </w:pPr>
      <w:r w:rsidRPr="00615BD6">
        <w:rPr>
          <w:rFonts w:ascii="Times New Roman" w:hAnsi="Times New Roman" w:cs="Times New Roman"/>
          <w:sz w:val="24"/>
          <w:szCs w:val="24"/>
        </w:rPr>
        <w:t>Das ist dann die Stunden der Unternehmer, die bereits über entsprechendes Kapital verfügen oder deren Bonität eine Bankfinanzierung erlaubt.</w:t>
      </w:r>
    </w:p>
    <w:p w:rsidR="00615BD6" w:rsidRDefault="00615BD6" w:rsidP="00615BD6">
      <w:pPr>
        <w:pStyle w:val="Listenabsatz"/>
        <w:numPr>
          <w:ilvl w:val="0"/>
          <w:numId w:val="6"/>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t xml:space="preserve">Unbeantwortet bleibt die brisante Frage, ob es so weit kommen mußte. </w:t>
      </w:r>
    </w:p>
    <w:p w:rsidR="00615BD6" w:rsidRPr="00615BD6" w:rsidRDefault="00615BD6" w:rsidP="00615BD6">
      <w:pPr>
        <w:spacing w:after="0" w:line="240" w:lineRule="auto"/>
        <w:ind w:left="426"/>
        <w:rPr>
          <w:rFonts w:ascii="Times New Roman" w:hAnsi="Times New Roman" w:cs="Times New Roman"/>
          <w:sz w:val="24"/>
          <w:szCs w:val="24"/>
        </w:rPr>
      </w:pPr>
      <w:r w:rsidRPr="00615BD6">
        <w:rPr>
          <w:rFonts w:ascii="Times New Roman" w:hAnsi="Times New Roman" w:cs="Times New Roman"/>
          <w:sz w:val="24"/>
          <w:szCs w:val="24"/>
        </w:rPr>
        <w:t>In der Vergangenheit hätte es gute Lösungsansätze gegeben und auch heute noch gibt es Möglichkeiten, die I</w:t>
      </w:r>
      <w:r w:rsidR="00095575">
        <w:rPr>
          <w:rFonts w:ascii="Times New Roman" w:hAnsi="Times New Roman" w:cs="Times New Roman"/>
          <w:sz w:val="24"/>
          <w:szCs w:val="24"/>
        </w:rPr>
        <w:t>nteressen der Gesellschafter / Genossen an Teilhabe am U</w:t>
      </w:r>
      <w:r w:rsidRPr="00615BD6">
        <w:rPr>
          <w:rFonts w:ascii="Times New Roman" w:hAnsi="Times New Roman" w:cs="Times New Roman"/>
          <w:sz w:val="24"/>
          <w:szCs w:val="24"/>
        </w:rPr>
        <w:t xml:space="preserve">nternehmenswert und die Bezahlbarkein des Betriebs bei Verkauf in Einklang zu bringen. </w:t>
      </w:r>
      <w:r w:rsidR="00095575">
        <w:rPr>
          <w:rFonts w:ascii="Times New Roman" w:hAnsi="Times New Roman" w:cs="Times New Roman"/>
          <w:sz w:val="24"/>
          <w:szCs w:val="24"/>
        </w:rPr>
        <w:br/>
      </w:r>
      <w:r w:rsidRPr="00615BD6">
        <w:rPr>
          <w:rFonts w:ascii="Times New Roman" w:hAnsi="Times New Roman" w:cs="Times New Roman"/>
          <w:sz w:val="24"/>
          <w:szCs w:val="24"/>
        </w:rPr>
        <w:t>Aber die Führungskräfte waren und sind diesbezüglich beratungsresistent.</w:t>
      </w:r>
    </w:p>
    <w:p w:rsidR="00615BD6" w:rsidRPr="00615BD6" w:rsidRDefault="00615BD6" w:rsidP="00615BD6">
      <w:pPr>
        <w:spacing w:after="0" w:line="240" w:lineRule="auto"/>
        <w:ind w:left="426"/>
        <w:rPr>
          <w:rFonts w:ascii="Times New Roman" w:hAnsi="Times New Roman" w:cs="Times New Roman"/>
          <w:sz w:val="24"/>
          <w:szCs w:val="24"/>
        </w:rPr>
      </w:pPr>
      <w:r w:rsidRPr="00615BD6">
        <w:rPr>
          <w:rFonts w:ascii="Times New Roman" w:hAnsi="Times New Roman" w:cs="Times New Roman"/>
          <w:sz w:val="24"/>
          <w:szCs w:val="24"/>
        </w:rPr>
        <w:t>Hier hätte in der Vergangenheit eine sinnv</w:t>
      </w:r>
      <w:r>
        <w:rPr>
          <w:rFonts w:ascii="Times New Roman" w:hAnsi="Times New Roman" w:cs="Times New Roman"/>
          <w:sz w:val="24"/>
          <w:szCs w:val="24"/>
        </w:rPr>
        <w:t>o</w:t>
      </w:r>
      <w:r w:rsidRPr="00615BD6">
        <w:rPr>
          <w:rFonts w:ascii="Times New Roman" w:hAnsi="Times New Roman" w:cs="Times New Roman"/>
          <w:sz w:val="24"/>
          <w:szCs w:val="24"/>
        </w:rPr>
        <w:t>lle Strukturpolitik ansetzen können.</w:t>
      </w:r>
    </w:p>
    <w:p w:rsidR="00615BD6" w:rsidRDefault="00615BD6" w:rsidP="00615BD6">
      <w:pPr>
        <w:spacing w:after="0" w:line="240" w:lineRule="auto"/>
        <w:rPr>
          <w:rFonts w:ascii="Times New Roman" w:hAnsi="Times New Roman" w:cs="Times New Roman"/>
          <w:sz w:val="24"/>
          <w:szCs w:val="24"/>
        </w:rPr>
      </w:pPr>
    </w:p>
    <w:p w:rsidR="00812329" w:rsidRDefault="00095575" w:rsidP="00615BD6">
      <w:pPr>
        <w:spacing w:after="0" w:line="240" w:lineRule="auto"/>
        <w:rPr>
          <w:rFonts w:ascii="Times New Roman" w:hAnsi="Times New Roman" w:cs="Times New Roman"/>
          <w:sz w:val="24"/>
          <w:szCs w:val="24"/>
        </w:rPr>
      </w:pPr>
      <w:r>
        <w:rPr>
          <w:rFonts w:ascii="Times New Roman" w:hAnsi="Times New Roman" w:cs="Times New Roman"/>
          <w:sz w:val="24"/>
          <w:szCs w:val="24"/>
        </w:rPr>
        <w:t>Die Schließung</w:t>
      </w:r>
      <w:r w:rsidR="00812329">
        <w:rPr>
          <w:rFonts w:ascii="Times New Roman" w:hAnsi="Times New Roman" w:cs="Times New Roman"/>
          <w:sz w:val="24"/>
          <w:szCs w:val="24"/>
        </w:rPr>
        <w:t xml:space="preserve"> der </w:t>
      </w:r>
      <w:r>
        <w:rPr>
          <w:rFonts w:ascii="Times New Roman" w:hAnsi="Times New Roman" w:cs="Times New Roman"/>
          <w:sz w:val="24"/>
          <w:szCs w:val="24"/>
        </w:rPr>
        <w:t>behaupteten</w:t>
      </w:r>
      <w:r w:rsidR="00FC3030">
        <w:rPr>
          <w:rFonts w:ascii="Times New Roman" w:hAnsi="Times New Roman" w:cs="Times New Roman"/>
          <w:sz w:val="24"/>
          <w:szCs w:val="24"/>
        </w:rPr>
        <w:t>, populistischen klingenden</w:t>
      </w:r>
      <w:r>
        <w:rPr>
          <w:rFonts w:ascii="Times New Roman" w:hAnsi="Times New Roman" w:cs="Times New Roman"/>
          <w:sz w:val="24"/>
          <w:szCs w:val="24"/>
        </w:rPr>
        <w:t xml:space="preserve"> </w:t>
      </w:r>
      <w:r w:rsidR="00254889">
        <w:rPr>
          <w:rFonts w:ascii="Times New Roman" w:hAnsi="Times New Roman" w:cs="Times New Roman"/>
          <w:sz w:val="24"/>
          <w:szCs w:val="24"/>
        </w:rPr>
        <w:t>„</w:t>
      </w:r>
      <w:r w:rsidR="00812329">
        <w:rPr>
          <w:rFonts w:ascii="Times New Roman" w:hAnsi="Times New Roman" w:cs="Times New Roman"/>
          <w:sz w:val="24"/>
          <w:szCs w:val="24"/>
        </w:rPr>
        <w:t>Regulierungslücke</w:t>
      </w:r>
      <w:r w:rsidR="00254889">
        <w:rPr>
          <w:rFonts w:ascii="Times New Roman" w:hAnsi="Times New Roman" w:cs="Times New Roman"/>
          <w:sz w:val="24"/>
          <w:szCs w:val="24"/>
        </w:rPr>
        <w:t>“</w:t>
      </w:r>
      <w:r w:rsidR="00812329">
        <w:rPr>
          <w:rFonts w:ascii="Times New Roman" w:hAnsi="Times New Roman" w:cs="Times New Roman"/>
          <w:sz w:val="24"/>
          <w:szCs w:val="24"/>
        </w:rPr>
        <w:t xml:space="preserve"> beim Share Deal ist keine Lösung.</w:t>
      </w:r>
    </w:p>
    <w:p w:rsidR="00095575" w:rsidRDefault="00812329" w:rsidP="00615BD6">
      <w:pPr>
        <w:spacing w:after="0" w:line="240" w:lineRule="auto"/>
        <w:rPr>
          <w:rFonts w:ascii="Times New Roman" w:hAnsi="Times New Roman" w:cs="Times New Roman"/>
          <w:sz w:val="24"/>
          <w:szCs w:val="24"/>
        </w:rPr>
      </w:pPr>
      <w:r>
        <w:rPr>
          <w:rFonts w:ascii="Times New Roman" w:hAnsi="Times New Roman" w:cs="Times New Roman"/>
          <w:sz w:val="24"/>
          <w:szCs w:val="24"/>
        </w:rPr>
        <w:t>Was soll durch eine „Regulierung“ erreicht werden?</w:t>
      </w:r>
      <w:r w:rsidR="00095575">
        <w:rPr>
          <w:rFonts w:ascii="Times New Roman" w:hAnsi="Times New Roman" w:cs="Times New Roman"/>
          <w:sz w:val="24"/>
          <w:szCs w:val="24"/>
        </w:rPr>
        <w:t xml:space="preserve"> </w:t>
      </w:r>
    </w:p>
    <w:p w:rsidR="00812329" w:rsidRDefault="00095575" w:rsidP="00615BD6">
      <w:pPr>
        <w:spacing w:after="0" w:line="240" w:lineRule="auto"/>
        <w:rPr>
          <w:rFonts w:ascii="Times New Roman" w:hAnsi="Times New Roman" w:cs="Times New Roman"/>
          <w:sz w:val="24"/>
          <w:szCs w:val="24"/>
        </w:rPr>
      </w:pPr>
      <w:r>
        <w:rPr>
          <w:rFonts w:ascii="Times New Roman" w:hAnsi="Times New Roman" w:cs="Times New Roman"/>
          <w:sz w:val="24"/>
          <w:szCs w:val="24"/>
        </w:rPr>
        <w:t>Dämpfung oder gar Senkung der Preise für Landpacht und Landkauf? Da müßte man zu allererst beim Preistreiber BVVG ansetzen.</w:t>
      </w:r>
    </w:p>
    <w:p w:rsidR="00095575" w:rsidRDefault="00095575" w:rsidP="00615BD6">
      <w:pPr>
        <w:spacing w:after="0" w:line="240" w:lineRule="auto"/>
        <w:rPr>
          <w:rFonts w:ascii="Times New Roman" w:hAnsi="Times New Roman" w:cs="Times New Roman"/>
          <w:sz w:val="24"/>
          <w:szCs w:val="24"/>
        </w:rPr>
      </w:pPr>
      <w:r>
        <w:rPr>
          <w:rFonts w:ascii="Times New Roman" w:hAnsi="Times New Roman" w:cs="Times New Roman"/>
          <w:sz w:val="24"/>
          <w:szCs w:val="24"/>
        </w:rPr>
        <w:t>Statt Verkauf der Betriebe im Ganzen deren Auflösung, damit wieder Flächen auf den Bodenmarkt kommen und Junglandwirte und Neueinrichter eine Chance haben? Das klingt fast wie der verkappte Traum von einer erneuten Bodenreform oder Aufsiedlung von Großbetrieben, wie sie im Kaiserreich stattfanden.</w:t>
      </w:r>
    </w:p>
    <w:p w:rsidR="00095575" w:rsidRDefault="00095575" w:rsidP="00615B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Alle diese Maßnahmen hätten Wertverluste für die Betriebe und deren Eigentümer zur Folge </w:t>
      </w:r>
      <w:r w:rsidR="003B05B8">
        <w:rPr>
          <w:rFonts w:ascii="Times New Roman" w:hAnsi="Times New Roman" w:cs="Times New Roman"/>
          <w:sz w:val="24"/>
          <w:szCs w:val="24"/>
        </w:rPr>
        <w:t>–</w:t>
      </w:r>
      <w:r>
        <w:rPr>
          <w:rFonts w:ascii="Times New Roman" w:hAnsi="Times New Roman" w:cs="Times New Roman"/>
          <w:sz w:val="24"/>
          <w:szCs w:val="24"/>
        </w:rPr>
        <w:t xml:space="preserve"> </w:t>
      </w:r>
      <w:r w:rsidR="003B05B8">
        <w:rPr>
          <w:rFonts w:ascii="Times New Roman" w:hAnsi="Times New Roman" w:cs="Times New Roman"/>
          <w:sz w:val="24"/>
          <w:szCs w:val="24"/>
        </w:rPr>
        <w:t xml:space="preserve">also eine Teilenteignung durch staatliche Maßnahmen. </w:t>
      </w:r>
    </w:p>
    <w:p w:rsidR="00254889" w:rsidRDefault="00254889" w:rsidP="00615BD6">
      <w:pPr>
        <w:spacing w:after="0" w:line="240" w:lineRule="auto"/>
        <w:rPr>
          <w:rFonts w:ascii="Times New Roman" w:hAnsi="Times New Roman" w:cs="Times New Roman"/>
          <w:sz w:val="24"/>
          <w:szCs w:val="24"/>
        </w:rPr>
      </w:pPr>
    </w:p>
    <w:p w:rsidR="00095575" w:rsidRDefault="003B05B8" w:rsidP="00615BD6">
      <w:pPr>
        <w:spacing w:after="0" w:line="240" w:lineRule="auto"/>
        <w:rPr>
          <w:rFonts w:ascii="Times New Roman" w:hAnsi="Times New Roman" w:cs="Times New Roman"/>
          <w:sz w:val="24"/>
          <w:szCs w:val="24"/>
        </w:rPr>
      </w:pPr>
      <w:r>
        <w:rPr>
          <w:rFonts w:ascii="Times New Roman" w:hAnsi="Times New Roman" w:cs="Times New Roman"/>
          <w:sz w:val="24"/>
          <w:szCs w:val="24"/>
        </w:rPr>
        <w:t>Sowohl der Bund als auch die für das Bodenrecht alleine verantwortlichen Länder denken immer wieder über eine modifizierte Grundstücksverkehrsgenehmigung bei Unternehm</w:t>
      </w:r>
      <w:r w:rsidR="00FC3030">
        <w:rPr>
          <w:rFonts w:ascii="Times New Roman" w:hAnsi="Times New Roman" w:cs="Times New Roman"/>
          <w:sz w:val="24"/>
          <w:szCs w:val="24"/>
        </w:rPr>
        <w:t>ens</w:t>
      </w:r>
      <w:r>
        <w:rPr>
          <w:rFonts w:ascii="Times New Roman" w:hAnsi="Times New Roman" w:cs="Times New Roman"/>
          <w:sz w:val="24"/>
          <w:szCs w:val="24"/>
        </w:rPr>
        <w:t>käufen nach.</w:t>
      </w:r>
    </w:p>
    <w:p w:rsidR="00747A36" w:rsidRDefault="00071B46" w:rsidP="00071B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Bei ihrem Nachdenken </w:t>
      </w:r>
      <w:r w:rsidR="00FC3030">
        <w:rPr>
          <w:rFonts w:ascii="Times New Roman" w:hAnsi="Times New Roman" w:cs="Times New Roman"/>
          <w:sz w:val="24"/>
          <w:szCs w:val="24"/>
        </w:rPr>
        <w:t>über den</w:t>
      </w:r>
      <w:r>
        <w:rPr>
          <w:rFonts w:ascii="Times New Roman" w:hAnsi="Times New Roman" w:cs="Times New Roman"/>
          <w:sz w:val="24"/>
          <w:szCs w:val="24"/>
        </w:rPr>
        <w:t xml:space="preserve"> Share Deal (damit werden ja indirekt auch landwirtschaftliche Flächen erworben), sollte</w:t>
      </w:r>
      <w:r w:rsidR="00254889">
        <w:rPr>
          <w:rFonts w:ascii="Times New Roman" w:hAnsi="Times New Roman" w:cs="Times New Roman"/>
          <w:sz w:val="24"/>
          <w:szCs w:val="24"/>
        </w:rPr>
        <w:t>n</w:t>
      </w:r>
      <w:r w:rsidR="00FC3030">
        <w:rPr>
          <w:rFonts w:ascii="Times New Roman" w:hAnsi="Times New Roman" w:cs="Times New Roman"/>
          <w:sz w:val="24"/>
          <w:szCs w:val="24"/>
        </w:rPr>
        <w:t xml:space="preserve"> sich die Minister</w:t>
      </w:r>
      <w:r>
        <w:rPr>
          <w:rFonts w:ascii="Times New Roman" w:hAnsi="Times New Roman" w:cs="Times New Roman"/>
          <w:sz w:val="24"/>
          <w:szCs w:val="24"/>
        </w:rPr>
        <w:t xml:space="preserve"> in der „Mitteilung der Kommission zu Auslegungsfragen über den Erwerb von Agrarland und das Unionsrecht“ (2017/C 350/05) schlau machen.</w:t>
      </w:r>
    </w:p>
    <w:p w:rsidR="00071B46" w:rsidRDefault="00071B46" w:rsidP="00071B4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Unter Punkt 4g – Verbot des Verkaufs an juristische Personen </w:t>
      </w:r>
      <w:r w:rsidR="00FC3030">
        <w:rPr>
          <w:rFonts w:ascii="Times New Roman" w:hAnsi="Times New Roman" w:cs="Times New Roman"/>
          <w:sz w:val="24"/>
          <w:szCs w:val="24"/>
        </w:rPr>
        <w:t>–</w:t>
      </w:r>
      <w:r>
        <w:rPr>
          <w:rFonts w:ascii="Times New Roman" w:hAnsi="Times New Roman" w:cs="Times New Roman"/>
          <w:sz w:val="24"/>
          <w:szCs w:val="24"/>
        </w:rPr>
        <w:t xml:space="preserve"> </w:t>
      </w:r>
      <w:r w:rsidR="00FC3030">
        <w:rPr>
          <w:rFonts w:ascii="Times New Roman" w:hAnsi="Times New Roman" w:cs="Times New Roman"/>
          <w:sz w:val="24"/>
          <w:szCs w:val="24"/>
        </w:rPr>
        <w:t>wird unter Verweis auf den EuGH festgestellt, daß dieses Verbot eine Beschränkung des freien Kapitalverkehrs darstellt.</w:t>
      </w:r>
    </w:p>
    <w:p w:rsidR="00FC3030" w:rsidRPr="00FC3030" w:rsidRDefault="00254889" w:rsidP="00FC3030">
      <w:pPr>
        <w:rPr>
          <w:rFonts w:ascii="Times New Roman" w:eastAsia="Times New Roman" w:hAnsi="Times New Roman" w:cs="Times New Roman"/>
          <w:b/>
          <w:bCs/>
          <w:kern w:val="36"/>
          <w:sz w:val="24"/>
          <w:szCs w:val="24"/>
          <w:lang w:eastAsia="de-DE"/>
        </w:rPr>
      </w:pPr>
      <w:r>
        <w:rPr>
          <w:rFonts w:ascii="Times New Roman" w:hAnsi="Times New Roman" w:cs="Times New Roman"/>
          <w:sz w:val="24"/>
          <w:szCs w:val="24"/>
        </w:rPr>
        <w:t>Und das träfe</w:t>
      </w:r>
      <w:r w:rsidR="00FC3030" w:rsidRPr="00FC3030">
        <w:rPr>
          <w:rFonts w:ascii="Times New Roman" w:hAnsi="Times New Roman" w:cs="Times New Roman"/>
          <w:sz w:val="24"/>
          <w:szCs w:val="24"/>
        </w:rPr>
        <w:t xml:space="preserve"> genau auf eine modifizierte </w:t>
      </w:r>
      <w:r w:rsidR="00FC3030" w:rsidRPr="00FC3030">
        <w:rPr>
          <w:rFonts w:ascii="Times New Roman" w:eastAsia="Times New Roman" w:hAnsi="Times New Roman" w:cs="Times New Roman"/>
          <w:bCs/>
          <w:kern w:val="36"/>
          <w:sz w:val="24"/>
          <w:szCs w:val="24"/>
          <w:lang w:eastAsia="de-DE"/>
        </w:rPr>
        <w:t>GrdstVG</w:t>
      </w:r>
      <w:r>
        <w:rPr>
          <w:rFonts w:ascii="Times New Roman" w:eastAsia="Times New Roman" w:hAnsi="Times New Roman" w:cs="Times New Roman"/>
          <w:bCs/>
          <w:kern w:val="36"/>
          <w:sz w:val="24"/>
          <w:szCs w:val="24"/>
          <w:lang w:eastAsia="de-DE"/>
        </w:rPr>
        <w:t xml:space="preserve"> in Sachen Share Deal zu und hätte juristisch keinen Bestand.</w:t>
      </w:r>
    </w:p>
    <w:p w:rsidR="005B57C7" w:rsidRPr="005B57C7" w:rsidRDefault="005B57C7">
      <w:pPr>
        <w:rPr>
          <w:rFonts w:ascii="Times New Roman" w:hAnsi="Times New Roman" w:cs="Times New Roman"/>
          <w:sz w:val="24"/>
          <w:szCs w:val="24"/>
        </w:rPr>
      </w:pPr>
      <w:r>
        <w:rPr>
          <w:rFonts w:ascii="Times New Roman" w:hAnsi="Times New Roman" w:cs="Times New Roman"/>
          <w:sz w:val="24"/>
          <w:szCs w:val="24"/>
        </w:rPr>
        <w:t xml:space="preserve">Wenn schon die Volksaktien in den 1960iger Jahren ein Reinfall war, so soll </w:t>
      </w:r>
      <w:r w:rsidR="008637A2">
        <w:rPr>
          <w:rFonts w:ascii="Times New Roman" w:hAnsi="Times New Roman" w:cs="Times New Roman"/>
          <w:sz w:val="24"/>
          <w:szCs w:val="24"/>
        </w:rPr>
        <w:t xml:space="preserve">doch </w:t>
      </w:r>
      <w:r>
        <w:rPr>
          <w:rFonts w:ascii="Times New Roman" w:hAnsi="Times New Roman" w:cs="Times New Roman"/>
          <w:sz w:val="24"/>
          <w:szCs w:val="24"/>
        </w:rPr>
        <w:t xml:space="preserve">das </w:t>
      </w:r>
      <w:r w:rsidR="008637A2">
        <w:rPr>
          <w:rFonts w:ascii="Times New Roman" w:hAnsi="Times New Roman" w:cs="Times New Roman"/>
          <w:sz w:val="24"/>
          <w:szCs w:val="24"/>
        </w:rPr>
        <w:t>gesellschaftliche</w:t>
      </w:r>
      <w:r>
        <w:rPr>
          <w:rFonts w:ascii="Times New Roman" w:hAnsi="Times New Roman" w:cs="Times New Roman"/>
          <w:sz w:val="24"/>
          <w:szCs w:val="24"/>
        </w:rPr>
        <w:t xml:space="preserve"> Leitbild einer breiten Streuung des </w:t>
      </w:r>
      <w:r w:rsidR="008637A2">
        <w:rPr>
          <w:rFonts w:ascii="Times New Roman" w:hAnsi="Times New Roman" w:cs="Times New Roman"/>
          <w:sz w:val="24"/>
          <w:szCs w:val="24"/>
        </w:rPr>
        <w:t xml:space="preserve">Bodeneigentums ein Erfolgsmodell sein, zumal </w:t>
      </w:r>
      <w:proofErr w:type="spellStart"/>
      <w:r w:rsidR="008637A2">
        <w:rPr>
          <w:rFonts w:ascii="Times New Roman" w:hAnsi="Times New Roman" w:cs="Times New Roman"/>
          <w:sz w:val="24"/>
          <w:szCs w:val="24"/>
        </w:rPr>
        <w:t>zumal</w:t>
      </w:r>
      <w:proofErr w:type="spellEnd"/>
      <w:r w:rsidR="008637A2">
        <w:rPr>
          <w:rFonts w:ascii="Times New Roman" w:hAnsi="Times New Roman" w:cs="Times New Roman"/>
          <w:sz w:val="24"/>
          <w:szCs w:val="24"/>
        </w:rPr>
        <w:t xml:space="preserve"> das Thema Blut und Boden eine lange Tradition und damit auch eine politische Akzeptanz hat. Da kann </w:t>
      </w:r>
      <w:proofErr w:type="spellStart"/>
      <w:r w:rsidR="008637A2">
        <w:rPr>
          <w:rFonts w:ascii="Times New Roman" w:hAnsi="Times New Roman" w:cs="Times New Roman"/>
          <w:sz w:val="24"/>
          <w:szCs w:val="24"/>
        </w:rPr>
        <w:t>kann</w:t>
      </w:r>
      <w:proofErr w:type="spellEnd"/>
      <w:r w:rsidR="008637A2">
        <w:rPr>
          <w:rFonts w:ascii="Times New Roman" w:hAnsi="Times New Roman" w:cs="Times New Roman"/>
          <w:sz w:val="24"/>
          <w:szCs w:val="24"/>
        </w:rPr>
        <w:t xml:space="preserve"> man getrost </w:t>
      </w:r>
      <w:r w:rsidRPr="005B57C7">
        <w:rPr>
          <w:rFonts w:ascii="Times New Roman" w:hAnsi="Times New Roman" w:cs="Times New Roman"/>
          <w:sz w:val="24"/>
          <w:szCs w:val="24"/>
        </w:rPr>
        <w:t>Professor Grethe, Vorsitzender des wissenschaftlichen Beirats beim Bundeslandwirtschaft</w:t>
      </w:r>
      <w:r w:rsidR="008637A2">
        <w:rPr>
          <w:rFonts w:ascii="Times New Roman" w:hAnsi="Times New Roman" w:cs="Times New Roman"/>
          <w:sz w:val="24"/>
          <w:szCs w:val="24"/>
        </w:rPr>
        <w:t>s</w:t>
      </w:r>
      <w:r w:rsidRPr="005B57C7">
        <w:rPr>
          <w:rFonts w:ascii="Times New Roman" w:hAnsi="Times New Roman" w:cs="Times New Roman"/>
          <w:sz w:val="24"/>
          <w:szCs w:val="24"/>
        </w:rPr>
        <w:t>ministeriums,</w:t>
      </w:r>
      <w:r w:rsidR="008637A2">
        <w:rPr>
          <w:rFonts w:ascii="Times New Roman" w:hAnsi="Times New Roman" w:cs="Times New Roman"/>
          <w:sz w:val="24"/>
          <w:szCs w:val="24"/>
        </w:rPr>
        <w:t xml:space="preserve"> zitieren:</w:t>
      </w:r>
      <w:r w:rsidRPr="005B57C7">
        <w:rPr>
          <w:rFonts w:ascii="Times New Roman" w:hAnsi="Times New Roman" w:cs="Times New Roman"/>
          <w:sz w:val="24"/>
          <w:szCs w:val="24"/>
        </w:rPr>
        <w:t xml:space="preserve"> „agrarromantischen Vorstellungen von eher städtischen Gruppen.“.</w:t>
      </w:r>
    </w:p>
    <w:p w:rsidR="008D6BA0" w:rsidRPr="008D6BA0" w:rsidRDefault="008D6BA0">
      <w:pPr>
        <w:rPr>
          <w:rFonts w:ascii="Times New Roman" w:hAnsi="Times New Roman" w:cs="Times New Roman"/>
          <w:sz w:val="24"/>
          <w:szCs w:val="24"/>
        </w:rPr>
      </w:pPr>
      <w:r>
        <w:rPr>
          <w:rFonts w:ascii="Times New Roman" w:hAnsi="Times New Roman" w:cs="Times New Roman"/>
          <w:sz w:val="24"/>
          <w:szCs w:val="24"/>
        </w:rPr>
        <w:t xml:space="preserve">Der gesamte Denkansatz ist falsch: Es geht nicht darum: Wem gehört was. Sondern: Wer trägt wieviel zur nationalen, europaweiten und internationalen landwirtschaftlichen Produktion bei. </w:t>
      </w:r>
      <w:r w:rsidR="00884711">
        <w:rPr>
          <w:rFonts w:ascii="Times New Roman" w:hAnsi="Times New Roman" w:cs="Times New Roman"/>
          <w:sz w:val="24"/>
          <w:szCs w:val="24"/>
        </w:rPr>
        <w:t xml:space="preserve">Dann sähe der Bericht zum Bereich </w:t>
      </w:r>
      <w:r w:rsidR="008358BD">
        <w:rPr>
          <w:rFonts w:ascii="Times New Roman" w:hAnsi="Times New Roman" w:cs="Times New Roman"/>
          <w:sz w:val="24"/>
          <w:szCs w:val="24"/>
        </w:rPr>
        <w:t>Landwirtschaft</w:t>
      </w:r>
      <w:r w:rsidR="00884711">
        <w:rPr>
          <w:rFonts w:ascii="Times New Roman" w:hAnsi="Times New Roman" w:cs="Times New Roman"/>
          <w:sz w:val="24"/>
          <w:szCs w:val="24"/>
        </w:rPr>
        <w:t xml:space="preserve"> anders aus.</w:t>
      </w:r>
    </w:p>
    <w:sectPr w:rsidR="008D6BA0" w:rsidRPr="008D6BA0" w:rsidSect="00A838D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371A5"/>
    <w:multiLevelType w:val="hybridMultilevel"/>
    <w:tmpl w:val="B7D87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8C538AF"/>
    <w:multiLevelType w:val="hybridMultilevel"/>
    <w:tmpl w:val="5942C69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42DB188E"/>
    <w:multiLevelType w:val="hybridMultilevel"/>
    <w:tmpl w:val="8DC2E5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0CD7EC3"/>
    <w:multiLevelType w:val="hybridMultilevel"/>
    <w:tmpl w:val="A698A9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6A6321FA"/>
    <w:multiLevelType w:val="hybridMultilevel"/>
    <w:tmpl w:val="7A0477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777C1AF7"/>
    <w:multiLevelType w:val="hybridMultilevel"/>
    <w:tmpl w:val="C10685C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FA2552"/>
    <w:rsid w:val="000272B7"/>
    <w:rsid w:val="00056551"/>
    <w:rsid w:val="00071B46"/>
    <w:rsid w:val="00095575"/>
    <w:rsid w:val="00140F2A"/>
    <w:rsid w:val="00254889"/>
    <w:rsid w:val="00334F36"/>
    <w:rsid w:val="003576DF"/>
    <w:rsid w:val="003A7742"/>
    <w:rsid w:val="003B05B8"/>
    <w:rsid w:val="00446D2E"/>
    <w:rsid w:val="004F2E34"/>
    <w:rsid w:val="005949A0"/>
    <w:rsid w:val="00595CC0"/>
    <w:rsid w:val="005B2AAD"/>
    <w:rsid w:val="005B57C7"/>
    <w:rsid w:val="005C6BCB"/>
    <w:rsid w:val="00615BD6"/>
    <w:rsid w:val="00747A36"/>
    <w:rsid w:val="0078643D"/>
    <w:rsid w:val="007A1D3A"/>
    <w:rsid w:val="00812329"/>
    <w:rsid w:val="0082669E"/>
    <w:rsid w:val="008358BD"/>
    <w:rsid w:val="008556DD"/>
    <w:rsid w:val="008637A2"/>
    <w:rsid w:val="008818F1"/>
    <w:rsid w:val="00884711"/>
    <w:rsid w:val="008D6BA0"/>
    <w:rsid w:val="00A101BC"/>
    <w:rsid w:val="00A65B57"/>
    <w:rsid w:val="00A838DD"/>
    <w:rsid w:val="00AA1809"/>
    <w:rsid w:val="00B26AF1"/>
    <w:rsid w:val="00C50BD3"/>
    <w:rsid w:val="00C63241"/>
    <w:rsid w:val="00C759B2"/>
    <w:rsid w:val="00C92A0E"/>
    <w:rsid w:val="00D90233"/>
    <w:rsid w:val="00E20744"/>
    <w:rsid w:val="00E459B3"/>
    <w:rsid w:val="00E7335E"/>
    <w:rsid w:val="00EB3366"/>
    <w:rsid w:val="00EE4024"/>
    <w:rsid w:val="00F51A59"/>
    <w:rsid w:val="00FA2552"/>
    <w:rsid w:val="00FC303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838DD"/>
  </w:style>
  <w:style w:type="paragraph" w:styleId="berschrift1">
    <w:name w:val="heading 1"/>
    <w:basedOn w:val="Standard"/>
    <w:next w:val="Standard"/>
    <w:link w:val="berschrift1Zchn"/>
    <w:uiPriority w:val="9"/>
    <w:qFormat/>
    <w:rsid w:val="00FC30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459B3"/>
    <w:pPr>
      <w:ind w:left="720"/>
      <w:contextualSpacing/>
    </w:pPr>
  </w:style>
  <w:style w:type="character" w:styleId="Hyperlink">
    <w:name w:val="Hyperlink"/>
    <w:basedOn w:val="Absatz-Standardschriftart"/>
    <w:uiPriority w:val="99"/>
    <w:semiHidden/>
    <w:unhideWhenUsed/>
    <w:rsid w:val="00AA1809"/>
    <w:rPr>
      <w:color w:val="0000FF"/>
      <w:u w:val="single"/>
    </w:rPr>
  </w:style>
  <w:style w:type="character" w:customStyle="1" w:styleId="berschrift1Zchn">
    <w:name w:val="Überschrift 1 Zchn"/>
    <w:basedOn w:val="Absatz-Standardschriftart"/>
    <w:link w:val="berschrift1"/>
    <w:uiPriority w:val="9"/>
    <w:rsid w:val="00FC3030"/>
    <w:rPr>
      <w:rFonts w:asciiTheme="majorHAnsi" w:eastAsiaTheme="majorEastAsia" w:hAnsiTheme="majorHAnsi" w:cstheme="majorBidi"/>
      <w:color w:val="2E74B5" w:themeColor="accent1" w:themeShade="BF"/>
      <w:sz w:val="32"/>
      <w:szCs w:val="32"/>
    </w:rPr>
  </w:style>
  <w:style w:type="paragraph" w:styleId="Dokumentstruktur">
    <w:name w:val="Document Map"/>
    <w:basedOn w:val="Standard"/>
    <w:link w:val="DokumentstrukturZchn"/>
    <w:uiPriority w:val="99"/>
    <w:semiHidden/>
    <w:unhideWhenUsed/>
    <w:rsid w:val="00140F2A"/>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140F2A"/>
    <w:rPr>
      <w:rFonts w:ascii="Tahoma" w:hAnsi="Tahoma" w:cs="Tahoma"/>
      <w:sz w:val="16"/>
      <w:szCs w:val="16"/>
    </w:rPr>
  </w:style>
  <w:style w:type="paragraph" w:styleId="Sprechblasentext">
    <w:name w:val="Balloon Text"/>
    <w:basedOn w:val="Standard"/>
    <w:link w:val="SprechblasentextZchn"/>
    <w:uiPriority w:val="99"/>
    <w:semiHidden/>
    <w:unhideWhenUsed/>
    <w:rsid w:val="007864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864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2001133">
      <w:bodyDiv w:val="1"/>
      <w:marLeft w:val="0"/>
      <w:marRight w:val="0"/>
      <w:marTop w:val="0"/>
      <w:marBottom w:val="0"/>
      <w:divBdr>
        <w:top w:val="none" w:sz="0" w:space="0" w:color="auto"/>
        <w:left w:val="none" w:sz="0" w:space="0" w:color="auto"/>
        <w:bottom w:val="none" w:sz="0" w:space="0" w:color="auto"/>
        <w:right w:val="none" w:sz="0" w:space="0" w:color="auto"/>
      </w:divBdr>
      <w:divsChild>
        <w:div w:id="1021784711">
          <w:marLeft w:val="0"/>
          <w:marRight w:val="0"/>
          <w:marTop w:val="0"/>
          <w:marBottom w:val="0"/>
          <w:divBdr>
            <w:top w:val="none" w:sz="0" w:space="0" w:color="auto"/>
            <w:left w:val="none" w:sz="0" w:space="0" w:color="auto"/>
            <w:bottom w:val="none" w:sz="0" w:space="0" w:color="auto"/>
            <w:right w:val="none" w:sz="0" w:space="0" w:color="auto"/>
          </w:divBdr>
        </w:div>
        <w:div w:id="2063821446">
          <w:marLeft w:val="0"/>
          <w:marRight w:val="0"/>
          <w:marTop w:val="0"/>
          <w:marBottom w:val="0"/>
          <w:divBdr>
            <w:top w:val="none" w:sz="0" w:space="0" w:color="auto"/>
            <w:left w:val="none" w:sz="0" w:space="0" w:color="auto"/>
            <w:bottom w:val="none" w:sz="0" w:space="0" w:color="auto"/>
            <w:right w:val="none" w:sz="0" w:space="0" w:color="auto"/>
          </w:divBdr>
        </w:div>
      </w:divsChild>
    </w:div>
    <w:div w:id="90540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wikipedia.org/wiki/ADM-Mastersample"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1305</Words>
  <Characters>8223</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 Reis</dc:creator>
  <cp:keywords/>
  <dc:description/>
  <cp:lastModifiedBy>Nutzer</cp:lastModifiedBy>
  <cp:revision>6</cp:revision>
  <dcterms:created xsi:type="dcterms:W3CDTF">2018-10-13T21:09:00Z</dcterms:created>
  <dcterms:modified xsi:type="dcterms:W3CDTF">2020-01-12T12:11:00Z</dcterms:modified>
</cp:coreProperties>
</file>