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C1" w:rsidRDefault="004C5FC1" w:rsidP="004C5FC1">
      <w:pPr>
        <w:jc w:val="center"/>
        <w:rPr>
          <w:rFonts w:ascii="Times New Roman" w:hAnsi="Times New Roman" w:cs="Times New Roman"/>
          <w:b/>
          <w:sz w:val="24"/>
          <w:szCs w:val="24"/>
        </w:rPr>
      </w:pPr>
      <w:r w:rsidRPr="004C5FC1">
        <w:rPr>
          <w:rFonts w:ascii="Times New Roman" w:hAnsi="Times New Roman" w:cs="Times New Roman"/>
          <w:b/>
          <w:sz w:val="24"/>
          <w:szCs w:val="24"/>
        </w:rPr>
        <w:drawing>
          <wp:inline distT="0" distB="0" distL="0" distR="0">
            <wp:extent cx="1270488" cy="1814983"/>
            <wp:effectExtent l="19050" t="0" r="5862"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srcRect/>
                    <a:stretch>
                      <a:fillRect/>
                    </a:stretch>
                  </pic:blipFill>
                  <pic:spPr bwMode="auto">
                    <a:xfrm>
                      <a:off x="0" y="0"/>
                      <a:ext cx="1271162" cy="1815946"/>
                    </a:xfrm>
                    <a:prstGeom prst="rect">
                      <a:avLst/>
                    </a:prstGeom>
                    <a:noFill/>
                    <a:ln w="9525">
                      <a:noFill/>
                      <a:miter lim="800000"/>
                      <a:headEnd/>
                      <a:tailEnd/>
                    </a:ln>
                  </pic:spPr>
                </pic:pic>
              </a:graphicData>
            </a:graphic>
          </wp:inline>
        </w:drawing>
      </w:r>
    </w:p>
    <w:p w:rsidR="00614FC9" w:rsidRPr="00304E35" w:rsidRDefault="00304E35" w:rsidP="004C5FC1">
      <w:pPr>
        <w:jc w:val="center"/>
        <w:rPr>
          <w:rFonts w:ascii="Times New Roman" w:hAnsi="Times New Roman" w:cs="Times New Roman"/>
          <w:b/>
          <w:sz w:val="24"/>
          <w:szCs w:val="24"/>
        </w:rPr>
      </w:pPr>
      <w:r w:rsidRPr="00304E35">
        <w:rPr>
          <w:rFonts w:ascii="Times New Roman" w:hAnsi="Times New Roman" w:cs="Times New Roman"/>
          <w:b/>
          <w:sz w:val="24"/>
          <w:szCs w:val="24"/>
        </w:rPr>
        <w:t xml:space="preserve">Kritik des </w:t>
      </w:r>
      <w:proofErr w:type="spellStart"/>
      <w:r w:rsidRPr="00304E35">
        <w:rPr>
          <w:rFonts w:ascii="Times New Roman" w:hAnsi="Times New Roman" w:cs="Times New Roman"/>
          <w:b/>
          <w:sz w:val="24"/>
          <w:szCs w:val="24"/>
        </w:rPr>
        <w:t>Agrarstrukturgetzes</w:t>
      </w:r>
      <w:proofErr w:type="spellEnd"/>
      <w:r w:rsidRPr="00304E35">
        <w:rPr>
          <w:rFonts w:ascii="Times New Roman" w:hAnsi="Times New Roman" w:cs="Times New Roman"/>
          <w:b/>
          <w:sz w:val="24"/>
          <w:szCs w:val="24"/>
        </w:rPr>
        <w:t xml:space="preserve"> in S-A</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Das Agrarstrukturgesetz Sachsen–</w:t>
      </w:r>
      <w:r w:rsidRPr="00D15CEA">
        <w:rPr>
          <w:rFonts w:ascii="Times New Roman" w:eastAsia="Times New Roman" w:hAnsi="Times New Roman" w:cs="Times New Roman"/>
          <w:sz w:val="24"/>
          <w:szCs w:val="24"/>
          <w:lang w:eastAsia="de-DE" w:bidi="ar-SA"/>
        </w:rPr>
        <w:t>Anhalt ist ein mutiger Entwurf. Wird es so verabschiedet</w:t>
      </w:r>
      <w:r>
        <w:rPr>
          <w:rFonts w:ascii="Times New Roman" w:eastAsia="Times New Roman" w:hAnsi="Times New Roman" w:cs="Times New Roman"/>
          <w:sz w:val="24"/>
          <w:szCs w:val="24"/>
          <w:lang w:eastAsia="de-DE" w:bidi="ar-SA"/>
        </w:rPr>
        <w:t xml:space="preserve">, könnte es gegen </w:t>
      </w:r>
      <w:r w:rsidRPr="00D15CEA">
        <w:rPr>
          <w:rFonts w:ascii="Times New Roman" w:eastAsia="Times New Roman" w:hAnsi="Times New Roman" w:cs="Times New Roman"/>
          <w:sz w:val="24"/>
          <w:szCs w:val="24"/>
          <w:lang w:eastAsia="de-DE" w:bidi="ar-SA"/>
        </w:rPr>
        <w:t>EU</w:t>
      </w:r>
      <w:r>
        <w:rPr>
          <w:rFonts w:ascii="Times New Roman" w:eastAsia="Times New Roman" w:hAnsi="Times New Roman" w:cs="Times New Roman"/>
          <w:sz w:val="24"/>
          <w:szCs w:val="24"/>
          <w:lang w:eastAsia="de-DE" w:bidi="ar-SA"/>
        </w:rPr>
        <w:t>-Recht</w:t>
      </w:r>
      <w:r w:rsidR="001E444D">
        <w:rPr>
          <w:rFonts w:ascii="Times New Roman" w:eastAsia="Times New Roman" w:hAnsi="Times New Roman" w:cs="Times New Roman"/>
          <w:sz w:val="24"/>
          <w:szCs w:val="24"/>
          <w:lang w:eastAsia="de-DE" w:bidi="ar-SA"/>
        </w:rPr>
        <w:t xml:space="preserve">, gegen unser </w:t>
      </w:r>
      <w:r w:rsidRPr="00D15CEA">
        <w:rPr>
          <w:rFonts w:ascii="Times New Roman" w:eastAsia="Times New Roman" w:hAnsi="Times New Roman" w:cs="Times New Roman"/>
          <w:sz w:val="24"/>
          <w:szCs w:val="24"/>
          <w:lang w:eastAsia="de-DE" w:bidi="ar-SA"/>
        </w:rPr>
        <w:t>Grundgesetz, gegen Bundesrecht, gegen die Rechtsprechung des BGH</w:t>
      </w:r>
      <w:r w:rsidR="00304E35">
        <w:rPr>
          <w:rFonts w:ascii="Times New Roman" w:eastAsia="Times New Roman" w:hAnsi="Times New Roman" w:cs="Times New Roman"/>
          <w:sz w:val="24"/>
          <w:szCs w:val="24"/>
          <w:lang w:eastAsia="de-DE" w:bidi="ar-SA"/>
        </w:rPr>
        <w:t xml:space="preserve"> und das</w:t>
      </w:r>
      <w:r w:rsidR="00634EE2">
        <w:rPr>
          <w:rFonts w:ascii="Times New Roman" w:eastAsia="Times New Roman" w:hAnsi="Times New Roman" w:cs="Times New Roman"/>
          <w:sz w:val="24"/>
          <w:szCs w:val="24"/>
          <w:lang w:eastAsia="de-DE" w:bidi="ar-SA"/>
        </w:rPr>
        <w:t xml:space="preserve"> Gesetzgebungsrecht des Bundes</w:t>
      </w:r>
      <w:r w:rsidRPr="00D15CEA">
        <w:rPr>
          <w:rFonts w:ascii="Times New Roman" w:eastAsia="Times New Roman" w:hAnsi="Times New Roman" w:cs="Times New Roman"/>
          <w:sz w:val="24"/>
          <w:szCs w:val="24"/>
          <w:lang w:eastAsia="de-DE" w:bidi="ar-SA"/>
        </w:rPr>
        <w:t xml:space="preserve"> verstoßen. </w:t>
      </w:r>
      <w:r>
        <w:rPr>
          <w:rFonts w:ascii="Times New Roman" w:eastAsia="Times New Roman" w:hAnsi="Times New Roman" w:cs="Times New Roman"/>
          <w:sz w:val="24"/>
          <w:szCs w:val="24"/>
          <w:lang w:eastAsia="de-DE" w:bidi="ar-SA"/>
        </w:rPr>
        <w:t>Es wird dann blutige Nasen geben.</w:t>
      </w:r>
      <w:r w:rsidR="00304E35">
        <w:rPr>
          <w:rFonts w:ascii="Times New Roman" w:eastAsia="Times New Roman" w:hAnsi="Times New Roman" w:cs="Times New Roman"/>
          <w:sz w:val="24"/>
          <w:szCs w:val="24"/>
          <w:lang w:eastAsia="de-DE" w:bidi="ar-SA"/>
        </w:rPr>
        <w:t xml:space="preserve"> Mutig, mutig.</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 xml:space="preserve">Die Ziele der deutschen Agrarpolitik wurden letztmals 1955 im </w:t>
      </w:r>
      <w:r>
        <w:rPr>
          <w:rFonts w:ascii="Times New Roman" w:eastAsia="Times New Roman" w:hAnsi="Times New Roman" w:cs="Times New Roman"/>
          <w:sz w:val="24"/>
          <w:szCs w:val="24"/>
          <w:lang w:eastAsia="de-DE" w:bidi="ar-SA"/>
        </w:rPr>
        <w:t>Landwirtschaftsg</w:t>
      </w:r>
      <w:r w:rsidRPr="00D15CEA">
        <w:rPr>
          <w:rFonts w:ascii="Times New Roman" w:eastAsia="Times New Roman" w:hAnsi="Times New Roman" w:cs="Times New Roman"/>
          <w:sz w:val="24"/>
          <w:szCs w:val="24"/>
          <w:lang w:eastAsia="de-DE" w:bidi="ar-SA"/>
        </w:rPr>
        <w:t xml:space="preserve">esetz festgelegt. Es ist bis heute gültig. </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In der Ge</w:t>
      </w:r>
      <w:r>
        <w:rPr>
          <w:rFonts w:ascii="Times New Roman" w:eastAsia="Times New Roman" w:hAnsi="Times New Roman" w:cs="Times New Roman"/>
          <w:sz w:val="24"/>
          <w:szCs w:val="24"/>
          <w:lang w:eastAsia="de-DE" w:bidi="ar-SA"/>
        </w:rPr>
        <w:t xml:space="preserve">setzesbegründung </w:t>
      </w:r>
      <w:r w:rsidR="00A227F1">
        <w:rPr>
          <w:rFonts w:ascii="Times New Roman" w:eastAsia="Times New Roman" w:hAnsi="Times New Roman" w:cs="Times New Roman"/>
          <w:sz w:val="24"/>
          <w:szCs w:val="24"/>
          <w:lang w:eastAsia="de-DE" w:bidi="ar-SA"/>
        </w:rPr>
        <w:t xml:space="preserve">S-A </w:t>
      </w:r>
      <w:r>
        <w:rPr>
          <w:rFonts w:ascii="Times New Roman" w:eastAsia="Times New Roman" w:hAnsi="Times New Roman" w:cs="Times New Roman"/>
          <w:sz w:val="24"/>
          <w:szCs w:val="24"/>
          <w:lang w:eastAsia="de-DE" w:bidi="ar-SA"/>
        </w:rPr>
        <w:t>wird zwar ein agrar</w:t>
      </w:r>
      <w:r w:rsidR="00634EE2">
        <w:rPr>
          <w:rFonts w:ascii="Times New Roman" w:eastAsia="Times New Roman" w:hAnsi="Times New Roman" w:cs="Times New Roman"/>
          <w:sz w:val="24"/>
          <w:szCs w:val="24"/>
          <w:lang w:eastAsia="de-DE" w:bidi="ar-SA"/>
        </w:rPr>
        <w:t>strukturelles und bodenmarkt</w:t>
      </w:r>
      <w:r w:rsidRPr="00D15CEA">
        <w:rPr>
          <w:rFonts w:ascii="Times New Roman" w:eastAsia="Times New Roman" w:hAnsi="Times New Roman" w:cs="Times New Roman"/>
          <w:sz w:val="24"/>
          <w:szCs w:val="24"/>
          <w:lang w:eastAsia="de-DE" w:bidi="ar-SA"/>
        </w:rPr>
        <w:t xml:space="preserve">politisches Leitbild </w:t>
      </w:r>
      <w:r>
        <w:rPr>
          <w:rFonts w:ascii="Times New Roman" w:eastAsia="Times New Roman" w:hAnsi="Times New Roman" w:cs="Times New Roman"/>
          <w:sz w:val="24"/>
          <w:szCs w:val="24"/>
          <w:lang w:eastAsia="de-DE" w:bidi="ar-SA"/>
        </w:rPr>
        <w:t>genannt</w:t>
      </w:r>
      <w:r w:rsidR="001E444D">
        <w:rPr>
          <w:rFonts w:ascii="Times New Roman" w:eastAsia="Times New Roman" w:hAnsi="Times New Roman" w:cs="Times New Roman"/>
          <w:sz w:val="24"/>
          <w:szCs w:val="24"/>
          <w:lang w:eastAsia="de-DE" w:bidi="ar-SA"/>
        </w:rPr>
        <w:t>, aber es ist einfach nur so hinein</w:t>
      </w:r>
      <w:r w:rsidR="001E444D" w:rsidRPr="00D15CEA">
        <w:rPr>
          <w:rFonts w:ascii="Times New Roman" w:eastAsia="Times New Roman" w:hAnsi="Times New Roman" w:cs="Times New Roman"/>
          <w:sz w:val="24"/>
          <w:szCs w:val="24"/>
          <w:lang w:eastAsia="de-DE" w:bidi="ar-SA"/>
        </w:rPr>
        <w:t>geschrieben</w:t>
      </w:r>
      <w:r w:rsidRPr="00D15CEA">
        <w:rPr>
          <w:rFonts w:ascii="Times New Roman" w:eastAsia="Times New Roman" w:hAnsi="Times New Roman" w:cs="Times New Roman"/>
          <w:sz w:val="24"/>
          <w:szCs w:val="24"/>
          <w:lang w:eastAsia="de-DE" w:bidi="ar-SA"/>
        </w:rPr>
        <w:t>, es ist nicht im parlamentarischen Konsens entstanden.</w:t>
      </w:r>
      <w:r w:rsidRPr="00964199">
        <w:rPr>
          <w:rFonts w:ascii="Times New Roman" w:eastAsia="Times New Roman" w:hAnsi="Times New Roman" w:cs="Times New Roman"/>
          <w:sz w:val="24"/>
          <w:szCs w:val="24"/>
          <w:lang w:eastAsia="de-DE" w:bidi="ar-SA"/>
        </w:rPr>
        <w:t xml:space="preserve"> </w:t>
      </w:r>
      <w:r>
        <w:rPr>
          <w:rFonts w:ascii="Times New Roman" w:eastAsia="Times New Roman" w:hAnsi="Times New Roman" w:cs="Times New Roman"/>
          <w:sz w:val="24"/>
          <w:szCs w:val="24"/>
          <w:lang w:eastAsia="de-DE" w:bidi="ar-SA"/>
        </w:rPr>
        <w:t>Es hat mit dem fortgeltenden Landwirtschaf</w:t>
      </w:r>
      <w:r w:rsidR="001E444D">
        <w:rPr>
          <w:rFonts w:ascii="Times New Roman" w:eastAsia="Times New Roman" w:hAnsi="Times New Roman" w:cs="Times New Roman"/>
          <w:sz w:val="24"/>
          <w:szCs w:val="24"/>
          <w:lang w:eastAsia="de-DE" w:bidi="ar-SA"/>
        </w:rPr>
        <w:t xml:space="preserve">tsgesetz von 1955 </w:t>
      </w:r>
      <w:r w:rsidRPr="00D15CEA">
        <w:rPr>
          <w:rFonts w:ascii="Times New Roman" w:eastAsia="Times New Roman" w:hAnsi="Times New Roman" w:cs="Times New Roman"/>
          <w:sz w:val="24"/>
          <w:szCs w:val="24"/>
          <w:lang w:eastAsia="de-DE" w:bidi="ar-SA"/>
        </w:rPr>
        <w:t>wenig zu tun.</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Einige Beispiele</w:t>
      </w:r>
      <w:r>
        <w:rPr>
          <w:rFonts w:ascii="Times New Roman" w:eastAsia="Times New Roman" w:hAnsi="Times New Roman" w:cs="Times New Roman"/>
          <w:sz w:val="24"/>
          <w:szCs w:val="24"/>
          <w:lang w:eastAsia="de-DE" w:bidi="ar-SA"/>
        </w:rPr>
        <w:t xml:space="preserve"> für das Leitbild</w:t>
      </w:r>
      <w:r w:rsidRPr="00D15CEA">
        <w:rPr>
          <w:rFonts w:ascii="Times New Roman" w:eastAsia="Times New Roman" w:hAnsi="Times New Roman" w:cs="Times New Roman"/>
          <w:sz w:val="24"/>
          <w:szCs w:val="24"/>
          <w:lang w:eastAsia="de-DE" w:bidi="ar-SA"/>
        </w:rPr>
        <w:t>:</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Ortsansässigkeit - d</w:t>
      </w:r>
      <w:r w:rsidRPr="00D15CEA">
        <w:rPr>
          <w:rFonts w:ascii="Times New Roman" w:eastAsia="Times New Roman" w:hAnsi="Times New Roman" w:cs="Times New Roman"/>
          <w:sz w:val="24"/>
          <w:szCs w:val="24"/>
          <w:lang w:eastAsia="de-DE" w:bidi="ar-SA"/>
        </w:rPr>
        <w:t xml:space="preserve">er </w:t>
      </w:r>
      <w:proofErr w:type="spellStart"/>
      <w:r w:rsidRPr="00D15CEA">
        <w:rPr>
          <w:rFonts w:ascii="Times New Roman" w:eastAsia="Times New Roman" w:hAnsi="Times New Roman" w:cs="Times New Roman"/>
          <w:sz w:val="24"/>
          <w:szCs w:val="24"/>
          <w:lang w:eastAsia="de-DE" w:bidi="ar-SA"/>
        </w:rPr>
        <w:t>EuGH</w:t>
      </w:r>
      <w:proofErr w:type="spellEnd"/>
      <w:r w:rsidRPr="00D15CEA">
        <w:rPr>
          <w:rFonts w:ascii="Times New Roman" w:eastAsia="Times New Roman" w:hAnsi="Times New Roman" w:cs="Times New Roman"/>
          <w:sz w:val="24"/>
          <w:szCs w:val="24"/>
          <w:lang w:eastAsia="de-DE" w:bidi="ar-SA"/>
        </w:rPr>
        <w:t xml:space="preserve"> hat anders </w:t>
      </w:r>
      <w:r w:rsidR="00CE435A" w:rsidRPr="00D15CEA">
        <w:rPr>
          <w:rFonts w:ascii="Times New Roman" w:eastAsia="Times New Roman" w:hAnsi="Times New Roman" w:cs="Times New Roman"/>
          <w:sz w:val="24"/>
          <w:szCs w:val="24"/>
          <w:lang w:eastAsia="de-DE" w:bidi="ar-SA"/>
        </w:rPr>
        <w:t>geurteilt</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Kombination von Ackerbau und Tierhaltung – Eingriff in die unternehmerische Disposition</w:t>
      </w:r>
      <w:r w:rsidR="001E444D">
        <w:rPr>
          <w:rFonts w:ascii="Times New Roman" w:eastAsia="Times New Roman" w:hAnsi="Times New Roman" w:cs="Times New Roman"/>
          <w:sz w:val="24"/>
          <w:szCs w:val="24"/>
          <w:lang w:eastAsia="de-DE" w:bidi="ar-SA"/>
        </w:rPr>
        <w:t>sfreiheit</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Möglichst viele Arbeitsplätze je Fläche</w:t>
      </w:r>
      <w:r>
        <w:rPr>
          <w:rFonts w:ascii="Times New Roman" w:eastAsia="Times New Roman" w:hAnsi="Times New Roman" w:cs="Times New Roman"/>
          <w:sz w:val="24"/>
          <w:szCs w:val="24"/>
          <w:lang w:eastAsia="de-DE" w:bidi="ar-SA"/>
        </w:rPr>
        <w:t>neinheit – Beschäftigungsgesellschaften</w:t>
      </w:r>
      <w:r w:rsidR="001E444D">
        <w:rPr>
          <w:rFonts w:ascii="Times New Roman" w:eastAsia="Times New Roman" w:hAnsi="Times New Roman" w:cs="Times New Roman"/>
          <w:sz w:val="24"/>
          <w:szCs w:val="24"/>
          <w:lang w:eastAsia="de-DE" w:bidi="ar-SA"/>
        </w:rPr>
        <w:t>? Familie b</w:t>
      </w:r>
      <w:r>
        <w:rPr>
          <w:rFonts w:ascii="Times New Roman" w:eastAsia="Times New Roman" w:hAnsi="Times New Roman" w:cs="Times New Roman"/>
          <w:sz w:val="24"/>
          <w:szCs w:val="24"/>
          <w:lang w:eastAsia="de-DE" w:bidi="ar-SA"/>
        </w:rPr>
        <w:t xml:space="preserve">eutet </w:t>
      </w:r>
      <w:r w:rsidRPr="00D15CEA">
        <w:rPr>
          <w:rFonts w:ascii="Times New Roman" w:eastAsia="Times New Roman" w:hAnsi="Times New Roman" w:cs="Times New Roman"/>
          <w:sz w:val="24"/>
          <w:szCs w:val="24"/>
          <w:lang w:eastAsia="de-DE" w:bidi="ar-SA"/>
        </w:rPr>
        <w:t>die Familie aus?</w:t>
      </w:r>
    </w:p>
    <w:p w:rsidR="00964199" w:rsidRPr="00D15CEA" w:rsidRDefault="00964199"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Regional</w:t>
      </w:r>
      <w:r w:rsidRPr="00D15CEA">
        <w:rPr>
          <w:rFonts w:ascii="Times New Roman" w:eastAsia="Times New Roman" w:hAnsi="Times New Roman" w:cs="Times New Roman"/>
          <w:sz w:val="24"/>
          <w:szCs w:val="24"/>
          <w:lang w:eastAsia="de-DE" w:bidi="ar-SA"/>
        </w:rPr>
        <w:t>gesellschaftliches Engagement – Gerade diejenigen, die gegen</w:t>
      </w:r>
      <w:r>
        <w:rPr>
          <w:rFonts w:ascii="Times New Roman" w:eastAsia="Times New Roman" w:hAnsi="Times New Roman" w:cs="Times New Roman"/>
          <w:sz w:val="24"/>
          <w:szCs w:val="24"/>
          <w:lang w:eastAsia="de-DE" w:bidi="ar-SA"/>
        </w:rPr>
        <w:t xml:space="preserve"> das </w:t>
      </w:r>
      <w:proofErr w:type="spellStart"/>
      <w:r>
        <w:rPr>
          <w:rFonts w:ascii="Times New Roman" w:eastAsia="Times New Roman" w:hAnsi="Times New Roman" w:cs="Times New Roman"/>
          <w:sz w:val="24"/>
          <w:szCs w:val="24"/>
          <w:lang w:eastAsia="de-DE" w:bidi="ar-SA"/>
        </w:rPr>
        <w:t>Höfesterben</w:t>
      </w:r>
      <w:proofErr w:type="spellEnd"/>
      <w:r>
        <w:rPr>
          <w:rFonts w:ascii="Times New Roman" w:eastAsia="Times New Roman" w:hAnsi="Times New Roman" w:cs="Times New Roman"/>
          <w:sz w:val="24"/>
          <w:szCs w:val="24"/>
          <w:lang w:eastAsia="de-DE" w:bidi="ar-SA"/>
        </w:rPr>
        <w:t xml:space="preserve"> wegen der gesetzli</w:t>
      </w:r>
      <w:r w:rsidRPr="00D15CEA">
        <w:rPr>
          <w:rFonts w:ascii="Times New Roman" w:eastAsia="Times New Roman" w:hAnsi="Times New Roman" w:cs="Times New Roman"/>
          <w:sz w:val="24"/>
          <w:szCs w:val="24"/>
          <w:lang w:eastAsia="de-DE" w:bidi="ar-SA"/>
        </w:rPr>
        <w:t>chen Auflagen ankämpfen, können sich das nicht leisten</w:t>
      </w:r>
      <w:r>
        <w:rPr>
          <w:rFonts w:ascii="Times New Roman" w:eastAsia="Times New Roman" w:hAnsi="Times New Roman" w:cs="Times New Roman"/>
          <w:sz w:val="24"/>
          <w:szCs w:val="24"/>
          <w:lang w:eastAsia="de-DE" w:bidi="ar-SA"/>
        </w:rPr>
        <w:t>.</w:t>
      </w:r>
      <w:r w:rsidR="00304E35">
        <w:rPr>
          <w:rFonts w:ascii="Times New Roman" w:eastAsia="Times New Roman" w:hAnsi="Times New Roman" w:cs="Times New Roman"/>
          <w:sz w:val="24"/>
          <w:szCs w:val="24"/>
          <w:lang w:eastAsia="de-DE" w:bidi="ar-SA"/>
        </w:rPr>
        <w:t xml:space="preserve"> Das Engagement von Großbetrieben will man nicht würdigen.</w:t>
      </w:r>
    </w:p>
    <w:p w:rsidR="001E444D" w:rsidRDefault="00964199"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 xml:space="preserve">Wesentliches fehlt: </w:t>
      </w:r>
    </w:p>
    <w:p w:rsidR="001E444D" w:rsidRPr="00F60648" w:rsidRDefault="00964199" w:rsidP="00F60648">
      <w:pPr>
        <w:pStyle w:val="Listenabsatz"/>
        <w:numPr>
          <w:ilvl w:val="0"/>
          <w:numId w:val="1"/>
        </w:numPr>
        <w:spacing w:after="0" w:line="240" w:lineRule="auto"/>
        <w:rPr>
          <w:rFonts w:ascii="Times New Roman" w:eastAsia="Times New Roman" w:hAnsi="Times New Roman" w:cs="Times New Roman"/>
          <w:sz w:val="24"/>
          <w:szCs w:val="24"/>
          <w:lang w:eastAsia="de-DE" w:bidi="ar-SA"/>
        </w:rPr>
      </w:pPr>
      <w:r w:rsidRPr="00F60648">
        <w:rPr>
          <w:rFonts w:ascii="Times New Roman" w:eastAsia="Times New Roman" w:hAnsi="Times New Roman" w:cs="Times New Roman"/>
          <w:sz w:val="24"/>
          <w:szCs w:val="24"/>
          <w:lang w:eastAsia="de-DE" w:bidi="ar-SA"/>
        </w:rPr>
        <w:t>Entwicklu</w:t>
      </w:r>
      <w:r w:rsidR="00F60648">
        <w:rPr>
          <w:rFonts w:ascii="Times New Roman" w:eastAsia="Times New Roman" w:hAnsi="Times New Roman" w:cs="Times New Roman"/>
          <w:sz w:val="24"/>
          <w:szCs w:val="24"/>
          <w:lang w:eastAsia="de-DE" w:bidi="ar-SA"/>
        </w:rPr>
        <w:t>ng und Förderung zukunftsfähiger</w:t>
      </w:r>
      <w:r w:rsidRPr="00F60648">
        <w:rPr>
          <w:rFonts w:ascii="Times New Roman" w:eastAsia="Times New Roman" w:hAnsi="Times New Roman" w:cs="Times New Roman"/>
          <w:sz w:val="24"/>
          <w:szCs w:val="24"/>
          <w:lang w:eastAsia="de-DE" w:bidi="ar-SA"/>
        </w:rPr>
        <w:t xml:space="preserve"> Struktu</w:t>
      </w:r>
      <w:r w:rsidR="00A227F1" w:rsidRPr="00F60648">
        <w:rPr>
          <w:rFonts w:ascii="Times New Roman" w:eastAsia="Times New Roman" w:hAnsi="Times New Roman" w:cs="Times New Roman"/>
          <w:sz w:val="24"/>
          <w:szCs w:val="24"/>
          <w:lang w:eastAsia="de-DE" w:bidi="ar-SA"/>
        </w:rPr>
        <w:t xml:space="preserve">ren </w:t>
      </w:r>
      <w:r w:rsidR="00F60648">
        <w:rPr>
          <w:rFonts w:ascii="Times New Roman" w:eastAsia="Times New Roman" w:hAnsi="Times New Roman" w:cs="Times New Roman"/>
          <w:sz w:val="24"/>
          <w:szCs w:val="24"/>
          <w:lang w:eastAsia="de-DE" w:bidi="ar-SA"/>
        </w:rPr>
        <w:t xml:space="preserve">in Verbindung </w:t>
      </w:r>
      <w:r w:rsidR="00DC120F">
        <w:rPr>
          <w:rFonts w:ascii="Times New Roman" w:eastAsia="Times New Roman" w:hAnsi="Times New Roman" w:cs="Times New Roman"/>
          <w:sz w:val="24"/>
          <w:szCs w:val="24"/>
          <w:lang w:eastAsia="de-DE" w:bidi="ar-SA"/>
        </w:rPr>
        <w:t xml:space="preserve">mit </w:t>
      </w:r>
      <w:r w:rsidR="00F60648">
        <w:rPr>
          <w:rFonts w:ascii="Times New Roman" w:eastAsia="Times New Roman" w:hAnsi="Times New Roman" w:cs="Times New Roman"/>
          <w:sz w:val="24"/>
          <w:szCs w:val="24"/>
          <w:lang w:eastAsia="de-DE" w:bidi="ar-SA"/>
        </w:rPr>
        <w:t xml:space="preserve">der </w:t>
      </w:r>
      <w:r w:rsidR="00F60648" w:rsidRPr="00F60648">
        <w:rPr>
          <w:rFonts w:ascii="Times New Roman" w:eastAsia="Times New Roman" w:hAnsi="Times New Roman" w:cs="Times New Roman"/>
          <w:sz w:val="24"/>
          <w:szCs w:val="24"/>
          <w:lang w:eastAsia="de-DE" w:bidi="ar-SA"/>
        </w:rPr>
        <w:t xml:space="preserve">Stärkung der </w:t>
      </w:r>
      <w:r w:rsidR="00F60648">
        <w:rPr>
          <w:rFonts w:ascii="Times New Roman" w:eastAsia="Times New Roman" w:hAnsi="Times New Roman" w:cs="Times New Roman"/>
          <w:sz w:val="24"/>
          <w:szCs w:val="24"/>
          <w:lang w:eastAsia="de-DE" w:bidi="ar-SA"/>
        </w:rPr>
        <w:t xml:space="preserve">Marktmacht </w:t>
      </w:r>
      <w:r w:rsidR="00F60648" w:rsidRPr="00F60648">
        <w:rPr>
          <w:rFonts w:ascii="Times New Roman" w:eastAsia="Times New Roman" w:hAnsi="Times New Roman" w:cs="Times New Roman"/>
          <w:sz w:val="24"/>
          <w:szCs w:val="24"/>
          <w:lang w:eastAsia="de-DE" w:bidi="ar-SA"/>
        </w:rPr>
        <w:t>in der Kette bis zum Verbraucher</w:t>
      </w:r>
      <w:r w:rsidR="00F60648">
        <w:rPr>
          <w:rFonts w:ascii="Times New Roman" w:eastAsia="Times New Roman" w:hAnsi="Times New Roman" w:cs="Times New Roman"/>
          <w:sz w:val="24"/>
          <w:szCs w:val="24"/>
          <w:lang w:eastAsia="de-DE" w:bidi="ar-SA"/>
        </w:rPr>
        <w:t xml:space="preserve">, sodaß langfristig eine staatliche </w:t>
      </w:r>
      <w:proofErr w:type="spellStart"/>
      <w:r w:rsidR="00F60648">
        <w:rPr>
          <w:rFonts w:ascii="Times New Roman" w:eastAsia="Times New Roman" w:hAnsi="Times New Roman" w:cs="Times New Roman"/>
          <w:sz w:val="24"/>
          <w:szCs w:val="24"/>
          <w:lang w:eastAsia="de-DE" w:bidi="ar-SA"/>
        </w:rPr>
        <w:t>Alimenation</w:t>
      </w:r>
      <w:proofErr w:type="spellEnd"/>
      <w:r w:rsidR="00F60648">
        <w:rPr>
          <w:rFonts w:ascii="Times New Roman" w:eastAsia="Times New Roman" w:hAnsi="Times New Roman" w:cs="Times New Roman"/>
          <w:sz w:val="24"/>
          <w:szCs w:val="24"/>
          <w:lang w:eastAsia="de-DE" w:bidi="ar-SA"/>
        </w:rPr>
        <w:t xml:space="preserve"> </w:t>
      </w:r>
      <w:r w:rsidR="00304E35">
        <w:rPr>
          <w:rFonts w:ascii="Times New Roman" w:eastAsia="Times New Roman" w:hAnsi="Times New Roman" w:cs="Times New Roman"/>
          <w:sz w:val="24"/>
          <w:szCs w:val="24"/>
          <w:lang w:eastAsia="de-DE" w:bidi="ar-SA"/>
        </w:rPr>
        <w:t>überflüssig wird</w:t>
      </w:r>
    </w:p>
    <w:p w:rsidR="00964199" w:rsidRPr="00F60648" w:rsidRDefault="00964199" w:rsidP="00F60648">
      <w:pPr>
        <w:pStyle w:val="Listenabsatz"/>
        <w:numPr>
          <w:ilvl w:val="0"/>
          <w:numId w:val="1"/>
        </w:numPr>
        <w:spacing w:after="0" w:line="240" w:lineRule="auto"/>
        <w:rPr>
          <w:rFonts w:ascii="Times New Roman" w:eastAsia="Times New Roman" w:hAnsi="Times New Roman" w:cs="Times New Roman"/>
          <w:sz w:val="24"/>
          <w:szCs w:val="24"/>
          <w:lang w:eastAsia="de-DE" w:bidi="ar-SA"/>
        </w:rPr>
      </w:pPr>
      <w:r w:rsidRPr="00F60648">
        <w:rPr>
          <w:rFonts w:ascii="Times New Roman" w:eastAsia="Times New Roman" w:hAnsi="Times New Roman" w:cs="Times New Roman"/>
          <w:sz w:val="24"/>
          <w:szCs w:val="24"/>
          <w:lang w:eastAsia="de-DE" w:bidi="ar-SA"/>
        </w:rPr>
        <w:t xml:space="preserve">Sicherstellung der Nahrungsmittelversorgung auf schrumpfenden Bewirtschaftungsflächen. </w:t>
      </w:r>
    </w:p>
    <w:p w:rsidR="00964199" w:rsidRPr="00F60648" w:rsidRDefault="00F60648" w:rsidP="00F60648">
      <w:pPr>
        <w:pStyle w:val="Listenabsatz"/>
        <w:numPr>
          <w:ilvl w:val="0"/>
          <w:numId w:val="1"/>
        </w:num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E</w:t>
      </w:r>
      <w:r w:rsidR="00964199" w:rsidRPr="00F60648">
        <w:rPr>
          <w:rFonts w:ascii="Times New Roman" w:eastAsia="Times New Roman" w:hAnsi="Times New Roman" w:cs="Times New Roman"/>
          <w:sz w:val="24"/>
          <w:szCs w:val="24"/>
          <w:lang w:eastAsia="de-DE" w:bidi="ar-SA"/>
        </w:rPr>
        <w:t>in angemessenes Einkommen | Gewinn des Unternehmers beziehungsweise Betriebs</w:t>
      </w:r>
    </w:p>
    <w:p w:rsidR="00964199" w:rsidRDefault="00A227F1" w:rsidP="00964199">
      <w:pPr>
        <w:spacing w:after="0" w:line="240" w:lineRule="auto"/>
        <w:rPr>
          <w:rFonts w:ascii="Times New Roman" w:eastAsia="Times New Roman" w:hAnsi="Times New Roman" w:cs="Times New Roman"/>
          <w:sz w:val="24"/>
          <w:szCs w:val="24"/>
          <w:lang w:eastAsia="de-DE" w:bidi="ar-SA"/>
        </w:rPr>
      </w:pPr>
      <w:r w:rsidRPr="00EE5FC0">
        <w:rPr>
          <w:rFonts w:ascii="Times New Roman" w:eastAsia="Times New Roman" w:hAnsi="Times New Roman" w:cs="Times New Roman"/>
          <w:sz w:val="24"/>
          <w:szCs w:val="24"/>
          <w:lang w:eastAsia="de-DE" w:bidi="ar-SA"/>
        </w:rPr>
        <w:t>Sozusagen konkurrierend findet man im §1 als Gesetzesziel „Gewährleistung leistungsfähiger Unternehmen“ wobei Leistungsfähigkeit nicht definiert ist. In Verbindung mit „agrarstrukturell nachteilige Verteilung des Grund und Bodens“ ahnt man, was da ide</w:t>
      </w:r>
      <w:r w:rsidR="00886590" w:rsidRPr="00EE5FC0">
        <w:rPr>
          <w:rFonts w:ascii="Times New Roman" w:eastAsia="Times New Roman" w:hAnsi="Times New Roman" w:cs="Times New Roman"/>
          <w:sz w:val="24"/>
          <w:szCs w:val="24"/>
          <w:lang w:eastAsia="de-DE" w:bidi="ar-SA"/>
        </w:rPr>
        <w:t xml:space="preserve">ologisch </w:t>
      </w:r>
      <w:r w:rsidR="00F60648" w:rsidRPr="00EE5FC0">
        <w:rPr>
          <w:rFonts w:ascii="Times New Roman" w:eastAsia="Times New Roman" w:hAnsi="Times New Roman" w:cs="Times New Roman"/>
          <w:sz w:val="24"/>
          <w:szCs w:val="24"/>
          <w:lang w:eastAsia="de-DE" w:bidi="ar-SA"/>
        </w:rPr>
        <w:t>geprägt</w:t>
      </w:r>
      <w:r w:rsidR="00886590" w:rsidRPr="00EE5FC0">
        <w:rPr>
          <w:rFonts w:ascii="Times New Roman" w:eastAsia="Times New Roman" w:hAnsi="Times New Roman" w:cs="Times New Roman"/>
          <w:sz w:val="24"/>
          <w:szCs w:val="24"/>
          <w:lang w:eastAsia="de-DE" w:bidi="ar-SA"/>
        </w:rPr>
        <w:t xml:space="preserve"> kommen </w:t>
      </w:r>
      <w:r w:rsidR="00FB1569">
        <w:rPr>
          <w:rFonts w:ascii="Times New Roman" w:eastAsia="Times New Roman" w:hAnsi="Times New Roman" w:cs="Times New Roman"/>
          <w:sz w:val="24"/>
          <w:szCs w:val="24"/>
          <w:lang w:eastAsia="de-DE" w:bidi="ar-SA"/>
        </w:rPr>
        <w:t>wird. D</w:t>
      </w:r>
      <w:r w:rsidR="00886590" w:rsidRPr="00EE5FC0">
        <w:rPr>
          <w:rFonts w:ascii="Times New Roman" w:eastAsia="Times New Roman" w:hAnsi="Times New Roman" w:cs="Times New Roman"/>
          <w:sz w:val="24"/>
          <w:szCs w:val="24"/>
          <w:lang w:eastAsia="de-DE" w:bidi="ar-SA"/>
        </w:rPr>
        <w:t>ie „Sicherung der Wertschöpfung im ländlichen Raum“</w:t>
      </w:r>
      <w:r w:rsidR="00FB1569">
        <w:rPr>
          <w:rFonts w:ascii="Times New Roman" w:eastAsia="Times New Roman" w:hAnsi="Times New Roman" w:cs="Times New Roman"/>
          <w:sz w:val="24"/>
          <w:szCs w:val="24"/>
          <w:lang w:eastAsia="de-DE" w:bidi="ar-SA"/>
        </w:rPr>
        <w:t xml:space="preserve">. Wo sonst findet sie </w:t>
      </w:r>
      <w:r w:rsidR="00886590" w:rsidRPr="00EE5FC0">
        <w:rPr>
          <w:rFonts w:ascii="Times New Roman" w:eastAsia="Times New Roman" w:hAnsi="Times New Roman" w:cs="Times New Roman"/>
          <w:sz w:val="24"/>
          <w:szCs w:val="24"/>
          <w:lang w:eastAsia="de-DE" w:bidi="ar-SA"/>
        </w:rPr>
        <w:t>statt?</w:t>
      </w:r>
      <w:r w:rsidR="00966265">
        <w:rPr>
          <w:rFonts w:ascii="Times New Roman" w:eastAsia="Times New Roman" w:hAnsi="Times New Roman" w:cs="Times New Roman"/>
          <w:sz w:val="24"/>
          <w:szCs w:val="24"/>
          <w:lang w:eastAsia="de-DE" w:bidi="ar-SA"/>
        </w:rPr>
        <w:t xml:space="preserve"> Doch nur vor Ort.</w:t>
      </w:r>
      <w:r w:rsidR="00FB1569">
        <w:rPr>
          <w:rFonts w:ascii="Times New Roman" w:eastAsia="Times New Roman" w:hAnsi="Times New Roman" w:cs="Times New Roman"/>
          <w:sz w:val="24"/>
          <w:szCs w:val="24"/>
          <w:lang w:eastAsia="de-DE" w:bidi="ar-SA"/>
        </w:rPr>
        <w:t xml:space="preserve"> Wo werden Betriebsmittel eingekauft, Investitionen getätigt, Mitarbeiter beschäftigt? Vor Ort.</w:t>
      </w:r>
    </w:p>
    <w:p w:rsidR="00FB1569" w:rsidRPr="00EE5FC0" w:rsidRDefault="00FB1569" w:rsidP="00964199">
      <w:pPr>
        <w:spacing w:after="0" w:line="240" w:lineRule="auto"/>
        <w:rPr>
          <w:rFonts w:ascii="Times New Roman" w:eastAsia="Times New Roman" w:hAnsi="Times New Roman" w:cs="Times New Roman"/>
          <w:sz w:val="24"/>
          <w:szCs w:val="24"/>
          <w:lang w:eastAsia="de-DE" w:bidi="ar-SA"/>
        </w:rPr>
      </w:pPr>
    </w:p>
    <w:p w:rsidR="00EE5FC0" w:rsidRPr="006D7F26" w:rsidRDefault="00886590" w:rsidP="00EE5FC0">
      <w:pPr>
        <w:spacing w:after="0" w:line="240" w:lineRule="auto"/>
        <w:rPr>
          <w:rFonts w:ascii="Times New Roman" w:hAnsi="Times New Roman" w:cs="Times New Roman"/>
          <w:sz w:val="24"/>
          <w:szCs w:val="24"/>
        </w:rPr>
      </w:pPr>
      <w:r w:rsidRPr="00EE5FC0">
        <w:rPr>
          <w:rFonts w:ascii="Times New Roman" w:eastAsia="Times New Roman" w:hAnsi="Times New Roman" w:cs="Times New Roman"/>
          <w:sz w:val="24"/>
          <w:szCs w:val="24"/>
          <w:lang w:eastAsia="de-DE" w:bidi="ar-SA"/>
        </w:rPr>
        <w:t xml:space="preserve">Die Versagungsgründe in § 8 haben es in sich. Sie </w:t>
      </w:r>
      <w:r w:rsidR="00EE5FC0" w:rsidRPr="00EE5FC0">
        <w:rPr>
          <w:rFonts w:ascii="Times New Roman" w:eastAsia="Times New Roman" w:hAnsi="Times New Roman" w:cs="Times New Roman"/>
          <w:sz w:val="24"/>
          <w:szCs w:val="24"/>
          <w:lang w:eastAsia="de-DE" w:bidi="ar-SA"/>
        </w:rPr>
        <w:t xml:space="preserve">sind </w:t>
      </w:r>
      <w:r w:rsidR="00F60648" w:rsidRPr="00EE5FC0">
        <w:rPr>
          <w:rFonts w:ascii="Times New Roman" w:hAnsi="Times New Roman" w:cs="Times New Roman"/>
          <w:sz w:val="24"/>
          <w:szCs w:val="24"/>
        </w:rPr>
        <w:t>Einschrän</w:t>
      </w:r>
      <w:r w:rsidR="00EE5FC0" w:rsidRPr="00EE5FC0">
        <w:rPr>
          <w:rFonts w:ascii="Times New Roman" w:hAnsi="Times New Roman" w:cs="Times New Roman"/>
          <w:sz w:val="24"/>
          <w:szCs w:val="24"/>
        </w:rPr>
        <w:t>kungen der Freiheit von Landbesitzern und Pächtern</w:t>
      </w:r>
      <w:r w:rsidR="00F60648" w:rsidRPr="00EE5FC0">
        <w:rPr>
          <w:rFonts w:ascii="Times New Roman" w:hAnsi="Times New Roman" w:cs="Times New Roman"/>
          <w:sz w:val="24"/>
          <w:szCs w:val="24"/>
        </w:rPr>
        <w:t>,</w:t>
      </w:r>
      <w:r w:rsidR="00DC120F">
        <w:rPr>
          <w:rFonts w:ascii="Times New Roman" w:hAnsi="Times New Roman" w:cs="Times New Roman"/>
          <w:sz w:val="24"/>
          <w:szCs w:val="24"/>
        </w:rPr>
        <w:t xml:space="preserve"> die Preise selbst auszuhandeln</w:t>
      </w:r>
      <w:r w:rsidR="00EE5FC0" w:rsidRPr="00EE5FC0">
        <w:rPr>
          <w:rFonts w:ascii="Times New Roman" w:hAnsi="Times New Roman" w:cs="Times New Roman"/>
          <w:sz w:val="24"/>
          <w:szCs w:val="24"/>
        </w:rPr>
        <w:t xml:space="preserve">. </w:t>
      </w:r>
      <w:r w:rsidR="00923827">
        <w:rPr>
          <w:rFonts w:ascii="Times New Roman" w:hAnsi="Times New Roman" w:cs="Times New Roman"/>
          <w:sz w:val="24"/>
          <w:szCs w:val="24"/>
        </w:rPr>
        <w:t xml:space="preserve">Für Grundstückeigentümer ein enteignungsähnlicher Eingriff. </w:t>
      </w:r>
      <w:r w:rsidR="006D7F26">
        <w:rPr>
          <w:rFonts w:ascii="Times New Roman" w:hAnsi="Times New Roman" w:cs="Times New Roman"/>
          <w:sz w:val="24"/>
          <w:szCs w:val="24"/>
        </w:rPr>
        <w:t>Hierzu heißt es</w:t>
      </w:r>
      <w:r w:rsidR="00FB1569">
        <w:rPr>
          <w:rFonts w:ascii="Times New Roman" w:hAnsi="Times New Roman" w:cs="Times New Roman"/>
          <w:sz w:val="24"/>
          <w:szCs w:val="24"/>
        </w:rPr>
        <w:t xml:space="preserve"> beim </w:t>
      </w:r>
      <w:proofErr w:type="spellStart"/>
      <w:r w:rsidR="00FB1569">
        <w:rPr>
          <w:rFonts w:ascii="Times New Roman" w:hAnsi="Times New Roman" w:cs="Times New Roman"/>
          <w:sz w:val="24"/>
          <w:szCs w:val="24"/>
        </w:rPr>
        <w:t>EuGH</w:t>
      </w:r>
      <w:proofErr w:type="spellEnd"/>
      <w:r w:rsidR="006D7F26">
        <w:rPr>
          <w:rFonts w:ascii="Times New Roman" w:hAnsi="Times New Roman" w:cs="Times New Roman"/>
          <w:sz w:val="24"/>
          <w:szCs w:val="24"/>
        </w:rPr>
        <w:t>:</w:t>
      </w:r>
      <w:r w:rsidR="00966265">
        <w:rPr>
          <w:rFonts w:ascii="Times New Roman" w:hAnsi="Times New Roman" w:cs="Times New Roman"/>
          <w:sz w:val="24"/>
          <w:szCs w:val="24"/>
        </w:rPr>
        <w:t xml:space="preserve"> Die </w:t>
      </w:r>
      <w:r w:rsidR="00DC120F">
        <w:rPr>
          <w:rFonts w:ascii="Times New Roman" w:hAnsi="Times New Roman" w:cs="Times New Roman"/>
          <w:sz w:val="24"/>
          <w:szCs w:val="24"/>
        </w:rPr>
        <w:t>Einschränkungen</w:t>
      </w:r>
      <w:r w:rsidR="006D7F26">
        <w:rPr>
          <w:rFonts w:ascii="Times New Roman" w:hAnsi="Times New Roman" w:cs="Times New Roman"/>
          <w:sz w:val="24"/>
          <w:szCs w:val="24"/>
        </w:rPr>
        <w:t xml:space="preserve"> </w:t>
      </w:r>
      <w:r w:rsidR="00EE5FC0" w:rsidRPr="00EE5FC0">
        <w:rPr>
          <w:rFonts w:ascii="Times New Roman" w:hAnsi="Times New Roman" w:cs="Times New Roman"/>
          <w:sz w:val="24"/>
          <w:szCs w:val="24"/>
        </w:rPr>
        <w:t>„</w:t>
      </w:r>
      <w:proofErr w:type="gramStart"/>
      <w:r w:rsidR="00966265">
        <w:rPr>
          <w:rFonts w:ascii="Times New Roman" w:hAnsi="Times New Roman" w:cs="Times New Roman"/>
          <w:sz w:val="24"/>
          <w:szCs w:val="24"/>
        </w:rPr>
        <w:t>..</w:t>
      </w:r>
      <w:proofErr w:type="gramEnd"/>
      <w:r w:rsidR="00EE5FC0" w:rsidRPr="00EE5FC0">
        <w:rPr>
          <w:rFonts w:ascii="Times New Roman" w:hAnsi="Times New Roman" w:cs="Times New Roman"/>
          <w:sz w:val="24"/>
          <w:szCs w:val="24"/>
        </w:rPr>
        <w:t xml:space="preserve"> müssen diskriminierungsfrei, durch ein überwiegendes öffentliches Interesse gerechtfertigt und für die </w:t>
      </w:r>
      <w:r w:rsidR="00EE5FC0" w:rsidRPr="00EE5FC0">
        <w:rPr>
          <w:rFonts w:ascii="Times New Roman" w:hAnsi="Times New Roman" w:cs="Times New Roman"/>
          <w:sz w:val="24"/>
          <w:szCs w:val="24"/>
        </w:rPr>
        <w:lastRenderedPageBreak/>
        <w:t>Erreichung des verfolgten Ziels geeignet sein, sie dürfen nicht über das zur Verwirklichung dieses Ziels erforderliche Maß hinausgehen und sich nicht durch weniger restriktive Maßnahmen ersetzen lassen (Grundsatz der Verhältnismäßigkeit“.</w:t>
      </w:r>
    </w:p>
    <w:p w:rsidR="00F60648" w:rsidRPr="00966265" w:rsidRDefault="006D7F26"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Versagung kann erfolgen, wenn der Kaufpreis den Marktwert um </w:t>
      </w:r>
      <w:r w:rsidR="00966265">
        <w:rPr>
          <w:rFonts w:ascii="Times New Roman" w:eastAsia="Times New Roman" w:hAnsi="Times New Roman" w:cs="Times New Roman"/>
          <w:sz w:val="24"/>
          <w:szCs w:val="24"/>
          <w:lang w:eastAsia="de-DE" w:bidi="ar-SA"/>
        </w:rPr>
        <w:t xml:space="preserve">mehr als </w:t>
      </w:r>
      <w:r>
        <w:rPr>
          <w:rFonts w:ascii="Times New Roman" w:eastAsia="Times New Roman" w:hAnsi="Times New Roman" w:cs="Times New Roman"/>
          <w:sz w:val="24"/>
          <w:szCs w:val="24"/>
          <w:lang w:eastAsia="de-DE" w:bidi="ar-SA"/>
        </w:rPr>
        <w:t xml:space="preserve">20 </w:t>
      </w:r>
      <w:r w:rsidR="00966265">
        <w:rPr>
          <w:rFonts w:ascii="Times New Roman" w:eastAsia="Times New Roman" w:hAnsi="Times New Roman" w:cs="Times New Roman"/>
          <w:sz w:val="24"/>
          <w:szCs w:val="24"/>
          <w:lang w:eastAsia="de-DE" w:bidi="ar-SA"/>
        </w:rPr>
        <w:t>%</w:t>
      </w:r>
      <w:r>
        <w:rPr>
          <w:rFonts w:ascii="Times New Roman" w:eastAsia="Times New Roman" w:hAnsi="Times New Roman" w:cs="Times New Roman"/>
          <w:sz w:val="24"/>
          <w:szCs w:val="24"/>
          <w:lang w:eastAsia="de-DE" w:bidi="ar-SA"/>
        </w:rPr>
        <w:t xml:space="preserve"> übersteigt </w:t>
      </w:r>
      <w:r w:rsidR="00966265">
        <w:rPr>
          <w:rFonts w:ascii="Times New Roman" w:eastAsia="Times New Roman" w:hAnsi="Times New Roman" w:cs="Times New Roman"/>
          <w:sz w:val="24"/>
          <w:szCs w:val="24"/>
          <w:lang w:eastAsia="de-DE" w:bidi="ar-SA"/>
        </w:rPr>
        <w:t>– damit wird die Rechtsprechung des BGH gekippt, den</w:t>
      </w:r>
      <w:r w:rsidR="00DC120F">
        <w:rPr>
          <w:rFonts w:ascii="Times New Roman" w:eastAsia="Times New Roman" w:hAnsi="Times New Roman" w:cs="Times New Roman"/>
          <w:sz w:val="24"/>
          <w:szCs w:val="24"/>
          <w:lang w:eastAsia="de-DE" w:bidi="ar-SA"/>
        </w:rPr>
        <w:t>n</w:t>
      </w:r>
      <w:r w:rsidR="00966265">
        <w:rPr>
          <w:rFonts w:ascii="Times New Roman" w:eastAsia="Times New Roman" w:hAnsi="Times New Roman" w:cs="Times New Roman"/>
          <w:sz w:val="24"/>
          <w:szCs w:val="24"/>
          <w:lang w:eastAsia="de-DE" w:bidi="ar-SA"/>
        </w:rPr>
        <w:t xml:space="preserve"> er geht von einem Wert von mehr als 50 % aus. Neu eingeführt wird eine Untergrenze von mehr als 40 % - diese interessierte bisher nur das Finanzamt. Der </w:t>
      </w:r>
      <w:proofErr w:type="spellStart"/>
      <w:r w:rsidR="00966265">
        <w:rPr>
          <w:rFonts w:ascii="Times New Roman" w:eastAsia="Times New Roman" w:hAnsi="Times New Roman" w:cs="Times New Roman"/>
          <w:sz w:val="24"/>
          <w:szCs w:val="24"/>
          <w:lang w:eastAsia="de-DE" w:bidi="ar-SA"/>
        </w:rPr>
        <w:t>EuGH</w:t>
      </w:r>
      <w:proofErr w:type="spellEnd"/>
      <w:r w:rsidR="00966265">
        <w:rPr>
          <w:rFonts w:ascii="Times New Roman" w:eastAsia="Times New Roman" w:hAnsi="Times New Roman" w:cs="Times New Roman"/>
          <w:sz w:val="24"/>
          <w:szCs w:val="24"/>
          <w:lang w:eastAsia="de-DE" w:bidi="ar-SA"/>
        </w:rPr>
        <w:t xml:space="preserve"> spricht dagegen nur von einem </w:t>
      </w:r>
      <w:r w:rsidR="00966265" w:rsidRPr="00966265">
        <w:rPr>
          <w:rFonts w:ascii="Times New Roman" w:hAnsi="Times New Roman" w:cs="Times New Roman"/>
          <w:sz w:val="24"/>
          <w:szCs w:val="24"/>
        </w:rPr>
        <w:t xml:space="preserve">groben </w:t>
      </w:r>
      <w:r w:rsidR="00DC120F" w:rsidRPr="00966265">
        <w:rPr>
          <w:rFonts w:ascii="Times New Roman" w:hAnsi="Times New Roman" w:cs="Times New Roman"/>
          <w:sz w:val="24"/>
          <w:szCs w:val="24"/>
        </w:rPr>
        <w:t>Mißverhältnis</w:t>
      </w:r>
      <w:r w:rsidR="00966265" w:rsidRPr="00966265">
        <w:rPr>
          <w:rFonts w:ascii="Times New Roman" w:hAnsi="Times New Roman" w:cs="Times New Roman"/>
          <w:sz w:val="24"/>
          <w:szCs w:val="24"/>
        </w:rPr>
        <w:t xml:space="preserve"> zu dem geschätzten Wert des Grundstücks</w:t>
      </w:r>
      <w:r w:rsidR="00FB1569">
        <w:rPr>
          <w:rFonts w:ascii="Times New Roman" w:hAnsi="Times New Roman" w:cs="Times New Roman"/>
          <w:sz w:val="24"/>
          <w:szCs w:val="24"/>
        </w:rPr>
        <w:t>.</w:t>
      </w:r>
    </w:p>
    <w:p w:rsidR="00F60648" w:rsidRDefault="00F60648" w:rsidP="00964199">
      <w:pPr>
        <w:spacing w:after="0" w:line="240" w:lineRule="auto"/>
        <w:rPr>
          <w:rFonts w:ascii="Times New Roman" w:eastAsia="Times New Roman" w:hAnsi="Times New Roman" w:cs="Times New Roman"/>
          <w:sz w:val="24"/>
          <w:szCs w:val="24"/>
          <w:lang w:eastAsia="de-DE" w:bidi="ar-SA"/>
        </w:rPr>
      </w:pPr>
    </w:p>
    <w:p w:rsidR="00F60648" w:rsidRPr="00F56ED2" w:rsidRDefault="00DC120F"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In § 8Abs. 7 wird ein vollständig neuer Versagungsgrund eingeführt:</w:t>
      </w:r>
      <w:r w:rsidR="00E7048C">
        <w:rPr>
          <w:rFonts w:ascii="Times New Roman" w:eastAsia="Times New Roman" w:hAnsi="Times New Roman" w:cs="Times New Roman"/>
          <w:sz w:val="24"/>
          <w:szCs w:val="24"/>
          <w:lang w:eastAsia="de-DE" w:bidi="ar-SA"/>
        </w:rPr>
        <w:t xml:space="preserve"> Die Beeinträchtigung auf dem regionalen Bodenmarkt durch eine marktbeherrschende Stellung. Marktbeherrschung liegt dann vor, wenn jemand</w:t>
      </w:r>
      <w:r w:rsidR="00A23DCB">
        <w:rPr>
          <w:rFonts w:ascii="Times New Roman" w:eastAsia="Times New Roman" w:hAnsi="Times New Roman" w:cs="Times New Roman"/>
          <w:sz w:val="24"/>
          <w:szCs w:val="24"/>
          <w:lang w:eastAsia="de-DE" w:bidi="ar-SA"/>
        </w:rPr>
        <w:t xml:space="preserve"> über </w:t>
      </w:r>
      <w:r w:rsidR="00E7048C">
        <w:rPr>
          <w:rFonts w:ascii="Times New Roman" w:eastAsia="Times New Roman" w:hAnsi="Times New Roman" w:cs="Times New Roman"/>
          <w:sz w:val="24"/>
          <w:szCs w:val="24"/>
          <w:lang w:eastAsia="de-DE" w:bidi="ar-SA"/>
        </w:rPr>
        <w:t xml:space="preserve">mindestens 50 % der LN </w:t>
      </w:r>
      <w:r w:rsidR="00A23DCB">
        <w:rPr>
          <w:rFonts w:ascii="Times New Roman" w:eastAsia="Times New Roman" w:hAnsi="Times New Roman" w:cs="Times New Roman"/>
          <w:sz w:val="24"/>
          <w:szCs w:val="24"/>
          <w:lang w:eastAsia="de-DE" w:bidi="ar-SA"/>
        </w:rPr>
        <w:t>als Eigentum oder Pacht verfügt. Der regionale Bodenmarkt soll die Gemarkung</w:t>
      </w:r>
      <w:r w:rsidR="00FB1569">
        <w:rPr>
          <w:rFonts w:ascii="Times New Roman" w:eastAsia="Times New Roman" w:hAnsi="Times New Roman" w:cs="Times New Roman"/>
          <w:sz w:val="24"/>
          <w:szCs w:val="24"/>
          <w:lang w:eastAsia="de-DE" w:bidi="ar-SA"/>
        </w:rPr>
        <w:t xml:space="preserve"> (!!)</w:t>
      </w:r>
      <w:r w:rsidR="00A23DCB">
        <w:rPr>
          <w:rFonts w:ascii="Times New Roman" w:eastAsia="Times New Roman" w:hAnsi="Times New Roman" w:cs="Times New Roman"/>
          <w:sz w:val="24"/>
          <w:szCs w:val="24"/>
          <w:lang w:eastAsia="de-DE" w:bidi="ar-SA"/>
        </w:rPr>
        <w:t xml:space="preserve"> des Flurstücks sein. Dann müßte man also die Mehrzahl der bestehenden Betriebe aus Monopolgründen zerschlagen – also ein zweite Bodenreform! Mit diesem Versagungsgrund greift </w:t>
      </w:r>
      <w:r w:rsidR="00FB1569">
        <w:rPr>
          <w:rFonts w:ascii="Times New Roman" w:eastAsia="Times New Roman" w:hAnsi="Times New Roman" w:cs="Times New Roman"/>
          <w:sz w:val="24"/>
          <w:szCs w:val="24"/>
          <w:lang w:eastAsia="de-DE" w:bidi="ar-SA"/>
        </w:rPr>
        <w:t xml:space="preserve">das Gesetz </w:t>
      </w:r>
      <w:r w:rsidR="00A23DCB">
        <w:rPr>
          <w:rFonts w:ascii="Times New Roman" w:eastAsia="Times New Roman" w:hAnsi="Times New Roman" w:cs="Times New Roman"/>
          <w:sz w:val="24"/>
          <w:szCs w:val="24"/>
          <w:lang w:eastAsia="de-DE" w:bidi="ar-SA"/>
        </w:rPr>
        <w:t xml:space="preserve">in Bundesrecht ein, in das </w:t>
      </w:r>
      <w:r w:rsidR="00A23DCB" w:rsidRPr="00F56ED2">
        <w:rPr>
          <w:rFonts w:ascii="Times New Roman" w:eastAsia="Times New Roman" w:hAnsi="Times New Roman" w:cs="Times New Roman"/>
          <w:sz w:val="24"/>
          <w:szCs w:val="24"/>
          <w:lang w:eastAsia="de-DE" w:bidi="ar-SA"/>
        </w:rPr>
        <w:t xml:space="preserve">Kartell- und Wettbewerbsrecht. Und wahrscheinlich auch in das </w:t>
      </w:r>
      <w:r w:rsidR="00A23DCB" w:rsidRPr="00F56ED2">
        <w:rPr>
          <w:rFonts w:ascii="Times New Roman" w:hAnsi="Times New Roman" w:cs="Times New Roman"/>
          <w:sz w:val="24"/>
          <w:szCs w:val="24"/>
        </w:rPr>
        <w:t>EU-Karte</w:t>
      </w:r>
      <w:r w:rsidR="00F56ED2">
        <w:rPr>
          <w:rFonts w:ascii="Times New Roman" w:hAnsi="Times New Roman" w:cs="Times New Roman"/>
          <w:sz w:val="24"/>
          <w:szCs w:val="24"/>
        </w:rPr>
        <w:t>llrecht mit den</w:t>
      </w:r>
      <w:r w:rsidR="00A23DCB" w:rsidRPr="00F56ED2">
        <w:rPr>
          <w:rFonts w:ascii="Times New Roman" w:hAnsi="Times New Roman" w:cs="Times New Roman"/>
          <w:sz w:val="24"/>
          <w:szCs w:val="24"/>
        </w:rPr>
        <w:t xml:space="preserve"> Artikel</w:t>
      </w:r>
      <w:r w:rsidR="00F56ED2">
        <w:rPr>
          <w:rFonts w:ascii="Times New Roman" w:hAnsi="Times New Roman" w:cs="Times New Roman"/>
          <w:sz w:val="24"/>
          <w:szCs w:val="24"/>
        </w:rPr>
        <w:t>n</w:t>
      </w:r>
      <w:r w:rsidR="00A23DCB" w:rsidRPr="00F56ED2">
        <w:rPr>
          <w:rFonts w:ascii="Times New Roman" w:hAnsi="Times New Roman" w:cs="Times New Roman"/>
          <w:sz w:val="24"/>
          <w:szCs w:val="24"/>
        </w:rPr>
        <w:t xml:space="preserve"> 101 und 102 des </w:t>
      </w:r>
      <w:hyperlink r:id="rId8" w:tooltip="Vertrag über die Arbeitsweise der Europäischen Union" w:history="1">
        <w:r w:rsidR="00A23DCB" w:rsidRPr="00F56ED2">
          <w:rPr>
            <w:rStyle w:val="Hyperlink"/>
            <w:rFonts w:ascii="Times New Roman" w:hAnsi="Times New Roman" w:cs="Times New Roman"/>
            <w:color w:val="auto"/>
            <w:sz w:val="24"/>
            <w:szCs w:val="24"/>
            <w:u w:val="none"/>
          </w:rPr>
          <w:t>Vertrags über die Arbeitsweise der Europäischen Union</w:t>
        </w:r>
      </w:hyperlink>
    </w:p>
    <w:p w:rsidR="00A23DCB" w:rsidRDefault="00A23DCB" w:rsidP="00964199">
      <w:pPr>
        <w:spacing w:after="0" w:line="240" w:lineRule="auto"/>
        <w:rPr>
          <w:rFonts w:ascii="Times New Roman" w:eastAsia="Times New Roman" w:hAnsi="Times New Roman" w:cs="Times New Roman"/>
          <w:sz w:val="24"/>
          <w:szCs w:val="24"/>
          <w:lang w:eastAsia="de-DE" w:bidi="ar-SA"/>
        </w:rPr>
      </w:pPr>
    </w:p>
    <w:p w:rsidR="00F56ED2" w:rsidRDefault="00F56ED2" w:rsidP="00964199">
      <w:pPr>
        <w:spacing w:after="0" w:line="240" w:lineRule="auto"/>
        <w:rPr>
          <w:rFonts w:ascii="Times New Roman" w:eastAsia="Times New Roman" w:hAnsi="Times New Roman" w:cs="Times New Roman"/>
          <w:sz w:val="24"/>
          <w:szCs w:val="24"/>
          <w:lang w:eastAsia="de-DE" w:bidi="ar-SA"/>
        </w:rPr>
      </w:pPr>
      <w:r w:rsidRPr="00D15CEA">
        <w:rPr>
          <w:rFonts w:ascii="Times New Roman" w:eastAsia="Times New Roman" w:hAnsi="Times New Roman" w:cs="Times New Roman"/>
          <w:sz w:val="24"/>
          <w:szCs w:val="24"/>
          <w:lang w:eastAsia="de-DE" w:bidi="ar-SA"/>
        </w:rPr>
        <w:t>Ähnlich</w:t>
      </w:r>
      <w:r>
        <w:rPr>
          <w:rFonts w:ascii="Times New Roman" w:eastAsia="Times New Roman" w:hAnsi="Times New Roman" w:cs="Times New Roman"/>
          <w:sz w:val="24"/>
          <w:szCs w:val="24"/>
          <w:lang w:eastAsia="de-DE" w:bidi="ar-SA"/>
        </w:rPr>
        <w:t>e Eingriffe im Wege der Beanstandung gelten auch für Pachtverträge, wenn „</w:t>
      </w:r>
      <w:proofErr w:type="spellStart"/>
      <w:r>
        <w:rPr>
          <w:rFonts w:ascii="Times New Roman" w:eastAsia="Times New Roman" w:hAnsi="Times New Roman" w:cs="Times New Roman"/>
          <w:sz w:val="24"/>
          <w:szCs w:val="24"/>
          <w:lang w:eastAsia="de-DE" w:bidi="ar-SA"/>
        </w:rPr>
        <w:t>agrarsrtrukturell</w:t>
      </w:r>
      <w:proofErr w:type="spellEnd"/>
      <w:r w:rsidR="00304E35">
        <w:rPr>
          <w:rFonts w:ascii="Times New Roman" w:eastAsia="Times New Roman" w:hAnsi="Times New Roman" w:cs="Times New Roman"/>
          <w:sz w:val="24"/>
          <w:szCs w:val="24"/>
          <w:lang w:eastAsia="de-DE" w:bidi="ar-SA"/>
        </w:rPr>
        <w:t xml:space="preserve"> </w:t>
      </w:r>
      <w:r>
        <w:rPr>
          <w:rFonts w:ascii="Times New Roman" w:eastAsia="Times New Roman" w:hAnsi="Times New Roman" w:cs="Times New Roman"/>
          <w:sz w:val="24"/>
          <w:szCs w:val="24"/>
          <w:lang w:eastAsia="de-DE" w:bidi="ar-SA"/>
        </w:rPr>
        <w:t>nachteilige Verteilung der Bodennutzung„ vorliegt. Oder die „Pacht nicht in einem angemessenen Verhältnis zu dem Ertrag steht“</w:t>
      </w:r>
      <w:r w:rsidR="00720A01">
        <w:rPr>
          <w:rFonts w:ascii="Times New Roman" w:eastAsia="Times New Roman" w:hAnsi="Times New Roman" w:cs="Times New Roman"/>
          <w:sz w:val="24"/>
          <w:szCs w:val="24"/>
          <w:lang w:eastAsia="de-DE" w:bidi="ar-SA"/>
        </w:rPr>
        <w:t>. Wer das wohl kompetent und widerspruchsfrei entscheiden kann?</w:t>
      </w:r>
    </w:p>
    <w:p w:rsidR="00720A01" w:rsidRDefault="00720A01"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Der </w:t>
      </w:r>
      <w:proofErr w:type="spellStart"/>
      <w:r>
        <w:rPr>
          <w:rFonts w:ascii="Times New Roman" w:eastAsia="Times New Roman" w:hAnsi="Times New Roman" w:cs="Times New Roman"/>
          <w:sz w:val="24"/>
          <w:szCs w:val="24"/>
          <w:lang w:eastAsia="de-DE" w:bidi="ar-SA"/>
        </w:rPr>
        <w:t>EuGH</w:t>
      </w:r>
      <w:proofErr w:type="spellEnd"/>
      <w:r>
        <w:rPr>
          <w:rFonts w:ascii="Times New Roman" w:eastAsia="Times New Roman" w:hAnsi="Times New Roman" w:cs="Times New Roman"/>
          <w:sz w:val="24"/>
          <w:szCs w:val="24"/>
          <w:lang w:eastAsia="de-DE" w:bidi="ar-SA"/>
        </w:rPr>
        <w:t xml:space="preserve"> hat ausdrücklich betont, daß ein System der vorherigen Genehmigung kein Ermessen einräumen darf, das von der zuständigen Behörde willkürlich genutzt werden oder zu willkürlichen behördlichen Entscheidungen führen kann.</w:t>
      </w:r>
      <w:r w:rsidR="002033F6">
        <w:rPr>
          <w:rFonts w:ascii="Times New Roman" w:eastAsia="Times New Roman" w:hAnsi="Times New Roman" w:cs="Times New Roman"/>
          <w:sz w:val="24"/>
          <w:szCs w:val="24"/>
          <w:lang w:eastAsia="de-DE" w:bidi="ar-SA"/>
        </w:rPr>
        <w:t xml:space="preserve"> Und das gilt </w:t>
      </w:r>
      <w:r w:rsidR="00FB1569">
        <w:rPr>
          <w:rFonts w:ascii="Times New Roman" w:eastAsia="Times New Roman" w:hAnsi="Times New Roman" w:cs="Times New Roman"/>
          <w:sz w:val="24"/>
          <w:szCs w:val="24"/>
          <w:lang w:eastAsia="de-DE" w:bidi="ar-SA"/>
        </w:rPr>
        <w:t xml:space="preserve">natürlich </w:t>
      </w:r>
      <w:r w:rsidR="002033F6">
        <w:rPr>
          <w:rFonts w:ascii="Times New Roman" w:eastAsia="Times New Roman" w:hAnsi="Times New Roman" w:cs="Times New Roman"/>
          <w:sz w:val="24"/>
          <w:szCs w:val="24"/>
          <w:lang w:eastAsia="de-DE" w:bidi="ar-SA"/>
        </w:rPr>
        <w:t>für viele Teile des G</w:t>
      </w:r>
      <w:r w:rsidR="009659B6">
        <w:rPr>
          <w:rFonts w:ascii="Times New Roman" w:eastAsia="Times New Roman" w:hAnsi="Times New Roman" w:cs="Times New Roman"/>
          <w:sz w:val="24"/>
          <w:szCs w:val="24"/>
          <w:lang w:eastAsia="de-DE" w:bidi="ar-SA"/>
        </w:rPr>
        <w:t>esetzentwurfs.</w:t>
      </w:r>
    </w:p>
    <w:p w:rsidR="009659B6" w:rsidRDefault="009659B6" w:rsidP="00964199">
      <w:pPr>
        <w:spacing w:after="0" w:line="240" w:lineRule="auto"/>
        <w:rPr>
          <w:rFonts w:ascii="Times New Roman" w:eastAsia="Times New Roman" w:hAnsi="Times New Roman" w:cs="Times New Roman"/>
          <w:sz w:val="24"/>
          <w:szCs w:val="24"/>
          <w:lang w:eastAsia="de-DE" w:bidi="ar-SA"/>
        </w:rPr>
      </w:pPr>
    </w:p>
    <w:p w:rsidR="009659B6" w:rsidRDefault="009659B6"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Etwas vollkommen Neues ist der Teil 5 über den Erwerb von Beteiligungen an Unte</w:t>
      </w:r>
      <w:r w:rsidR="00E752BF">
        <w:rPr>
          <w:rFonts w:ascii="Times New Roman" w:eastAsia="Times New Roman" w:hAnsi="Times New Roman" w:cs="Times New Roman"/>
          <w:sz w:val="24"/>
          <w:szCs w:val="24"/>
          <w:lang w:eastAsia="de-DE" w:bidi="ar-SA"/>
        </w:rPr>
        <w:t xml:space="preserve">rnehmen, sogenannte </w:t>
      </w:r>
      <w:proofErr w:type="spellStart"/>
      <w:r w:rsidR="00E752BF">
        <w:rPr>
          <w:rFonts w:ascii="Times New Roman" w:eastAsia="Times New Roman" w:hAnsi="Times New Roman" w:cs="Times New Roman"/>
          <w:sz w:val="24"/>
          <w:szCs w:val="24"/>
          <w:lang w:eastAsia="de-DE" w:bidi="ar-SA"/>
        </w:rPr>
        <w:t>share</w:t>
      </w:r>
      <w:proofErr w:type="spellEnd"/>
      <w:r w:rsidR="00E752BF">
        <w:rPr>
          <w:rFonts w:ascii="Times New Roman" w:eastAsia="Times New Roman" w:hAnsi="Times New Roman" w:cs="Times New Roman"/>
          <w:sz w:val="24"/>
          <w:szCs w:val="24"/>
          <w:lang w:eastAsia="de-DE" w:bidi="ar-SA"/>
        </w:rPr>
        <w:t xml:space="preserve"> </w:t>
      </w:r>
      <w:proofErr w:type="spellStart"/>
      <w:r w:rsidR="00E752BF">
        <w:rPr>
          <w:rFonts w:ascii="Times New Roman" w:eastAsia="Times New Roman" w:hAnsi="Times New Roman" w:cs="Times New Roman"/>
          <w:sz w:val="24"/>
          <w:szCs w:val="24"/>
          <w:lang w:eastAsia="de-DE" w:bidi="ar-SA"/>
        </w:rPr>
        <w:t>deals</w:t>
      </w:r>
      <w:proofErr w:type="spellEnd"/>
      <w:r>
        <w:rPr>
          <w:rFonts w:ascii="Times New Roman" w:eastAsia="Times New Roman" w:hAnsi="Times New Roman" w:cs="Times New Roman"/>
          <w:sz w:val="24"/>
          <w:szCs w:val="24"/>
          <w:lang w:eastAsia="de-DE" w:bidi="ar-SA"/>
        </w:rPr>
        <w:t>.</w:t>
      </w:r>
    </w:p>
    <w:p w:rsidR="00FB1569" w:rsidRDefault="00E752BF" w:rsidP="00CE2915">
      <w:pPr>
        <w:spacing w:after="0"/>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Grundsätzliche Kritiken la</w:t>
      </w:r>
      <w:r w:rsidR="002033F6">
        <w:rPr>
          <w:rFonts w:ascii="Times New Roman" w:eastAsia="Times New Roman" w:hAnsi="Times New Roman" w:cs="Times New Roman"/>
          <w:sz w:val="24"/>
          <w:szCs w:val="24"/>
          <w:lang w:eastAsia="de-DE" w:bidi="ar-SA"/>
        </w:rPr>
        <w:t>ssen sich aus dem</w:t>
      </w:r>
      <w:r>
        <w:rPr>
          <w:rFonts w:ascii="Times New Roman" w:eastAsia="Times New Roman" w:hAnsi="Times New Roman" w:cs="Times New Roman"/>
          <w:sz w:val="24"/>
          <w:szCs w:val="24"/>
          <w:lang w:eastAsia="de-DE" w:bidi="ar-SA"/>
        </w:rPr>
        <w:t xml:space="preserve"> Recht der EU über Kapitalverkehrsfreiheit und</w:t>
      </w:r>
      <w:r w:rsidR="002033F6">
        <w:rPr>
          <w:rFonts w:ascii="Times New Roman" w:eastAsia="Times New Roman" w:hAnsi="Times New Roman" w:cs="Times New Roman"/>
          <w:sz w:val="24"/>
          <w:szCs w:val="24"/>
          <w:lang w:eastAsia="de-DE" w:bidi="ar-SA"/>
        </w:rPr>
        <w:t xml:space="preserve"> Niederlassungsfreiheit ableiten</w:t>
      </w:r>
      <w:r>
        <w:rPr>
          <w:rFonts w:ascii="Times New Roman" w:eastAsia="Times New Roman" w:hAnsi="Times New Roman" w:cs="Times New Roman"/>
          <w:sz w:val="24"/>
          <w:szCs w:val="24"/>
          <w:lang w:eastAsia="de-DE" w:bidi="ar-SA"/>
        </w:rPr>
        <w:t xml:space="preserve">. </w:t>
      </w:r>
    </w:p>
    <w:p w:rsidR="00CE2915" w:rsidRDefault="00E752BF" w:rsidP="00CE2915">
      <w:pPr>
        <w:spacing w:after="0"/>
        <w:rPr>
          <w:rFonts w:ascii="Times New Roman" w:hAnsi="Times New Roman" w:cs="Times New Roman"/>
          <w:sz w:val="24"/>
          <w:szCs w:val="24"/>
        </w:rPr>
      </w:pPr>
      <w:r>
        <w:rPr>
          <w:rFonts w:ascii="Times New Roman" w:eastAsia="Times New Roman" w:hAnsi="Times New Roman" w:cs="Times New Roman"/>
          <w:sz w:val="24"/>
          <w:szCs w:val="24"/>
          <w:lang w:eastAsia="de-DE" w:bidi="ar-SA"/>
        </w:rPr>
        <w:t xml:space="preserve">Beschränkungen der sogenannten Grundfreiheiten </w:t>
      </w:r>
      <w:r w:rsidR="00CE2915">
        <w:rPr>
          <w:rFonts w:ascii="Times New Roman" w:eastAsia="Times New Roman" w:hAnsi="Times New Roman" w:cs="Times New Roman"/>
          <w:sz w:val="24"/>
          <w:szCs w:val="24"/>
          <w:lang w:eastAsia="de-DE" w:bidi="ar-SA"/>
        </w:rPr>
        <w:t xml:space="preserve">müssen </w:t>
      </w:r>
      <w:proofErr w:type="spellStart"/>
      <w:r w:rsidR="00CE2915">
        <w:rPr>
          <w:rFonts w:ascii="Times New Roman" w:eastAsia="Times New Roman" w:hAnsi="Times New Roman" w:cs="Times New Roman"/>
          <w:sz w:val="24"/>
          <w:szCs w:val="24"/>
          <w:lang w:eastAsia="de-DE" w:bidi="ar-SA"/>
        </w:rPr>
        <w:t>diskrimierungsfrei</w:t>
      </w:r>
      <w:proofErr w:type="spellEnd"/>
      <w:r w:rsidR="00CE2915">
        <w:rPr>
          <w:rFonts w:ascii="Times New Roman" w:eastAsia="Times New Roman" w:hAnsi="Times New Roman" w:cs="Times New Roman"/>
          <w:sz w:val="24"/>
          <w:szCs w:val="24"/>
          <w:lang w:eastAsia="de-DE" w:bidi="ar-SA"/>
        </w:rPr>
        <w:t>, durch ein überwiegend öffentliches Interesse gerechtfertigt und für die Erreichung des verfolgten Zieles geeignet sein</w:t>
      </w:r>
      <w:r w:rsidR="00CE2915" w:rsidRPr="00CE2915">
        <w:rPr>
          <w:rFonts w:ascii="Times New Roman" w:eastAsia="Times New Roman" w:hAnsi="Times New Roman" w:cs="Times New Roman"/>
          <w:sz w:val="24"/>
          <w:szCs w:val="24"/>
          <w:lang w:eastAsia="de-DE" w:bidi="ar-SA"/>
        </w:rPr>
        <w:t xml:space="preserve">. </w:t>
      </w:r>
      <w:r w:rsidR="00CE2915" w:rsidRPr="00CE2915">
        <w:rPr>
          <w:rFonts w:ascii="Times New Roman" w:hAnsi="Times New Roman" w:cs="Times New Roman"/>
          <w:sz w:val="24"/>
          <w:szCs w:val="24"/>
        </w:rPr>
        <w:t xml:space="preserve">Nach der ständigen Rechtsprechung des </w:t>
      </w:r>
      <w:proofErr w:type="spellStart"/>
      <w:r w:rsidR="00CE2915" w:rsidRPr="00CE2915">
        <w:rPr>
          <w:rFonts w:ascii="Times New Roman" w:hAnsi="Times New Roman" w:cs="Times New Roman"/>
          <w:sz w:val="24"/>
          <w:szCs w:val="24"/>
        </w:rPr>
        <w:t>EuGH</w:t>
      </w:r>
      <w:proofErr w:type="spellEnd"/>
      <w:r w:rsidR="00CE2915" w:rsidRPr="00CE2915">
        <w:rPr>
          <w:rFonts w:ascii="Times New Roman" w:hAnsi="Times New Roman" w:cs="Times New Roman"/>
          <w:sz w:val="24"/>
          <w:szCs w:val="24"/>
        </w:rPr>
        <w:t xml:space="preserve"> müssen Ausnahmen von den Grundfreiheiten eng ausgelegt werden. In jedem Falle können rein wirtschaftliche Beweggründe keine Ausnahmen von den Grundfreiheiten rechtfertigen.</w:t>
      </w:r>
    </w:p>
    <w:p w:rsidR="00CE2915" w:rsidRDefault="00CE2915" w:rsidP="00CE2915">
      <w:pPr>
        <w:spacing w:after="0"/>
        <w:rPr>
          <w:rFonts w:ascii="Times New Roman" w:hAnsi="Times New Roman" w:cs="Times New Roman"/>
          <w:sz w:val="24"/>
          <w:szCs w:val="24"/>
        </w:rPr>
      </w:pPr>
      <w:r>
        <w:rPr>
          <w:rFonts w:ascii="Times New Roman" w:hAnsi="Times New Roman" w:cs="Times New Roman"/>
          <w:sz w:val="24"/>
          <w:szCs w:val="24"/>
        </w:rPr>
        <w:t>Aus dem Grundgesetz lassen sich mögliche Verstöße gegen die Eigentumsfreiheit, Vereinigungsfreiheit, Gleichheitsfreiheit, Eigentumsrecht ableiten.</w:t>
      </w:r>
    </w:p>
    <w:p w:rsidR="00CE2915" w:rsidRDefault="00CE2915" w:rsidP="002033F6">
      <w:pPr>
        <w:spacing w:after="0"/>
        <w:rPr>
          <w:rFonts w:ascii="Times New Roman" w:hAnsi="Times New Roman" w:cs="Times New Roman"/>
          <w:sz w:val="24"/>
          <w:szCs w:val="24"/>
        </w:rPr>
      </w:pPr>
      <w:r>
        <w:rPr>
          <w:rFonts w:ascii="Times New Roman" w:hAnsi="Times New Roman" w:cs="Times New Roman"/>
          <w:sz w:val="24"/>
          <w:szCs w:val="24"/>
        </w:rPr>
        <w:t>Und letztendlich wird in das Gesellschaftsrecht, für das ausschließlich der Bund zuständig ist, eingegriffen.</w:t>
      </w:r>
    </w:p>
    <w:p w:rsidR="00A91EAE" w:rsidRDefault="00A91EAE" w:rsidP="00A91EAE">
      <w:pPr>
        <w:spacing w:after="0"/>
        <w:rPr>
          <w:rFonts w:ascii="Times New Roman" w:hAnsi="Times New Roman" w:cs="Times New Roman"/>
          <w:sz w:val="24"/>
          <w:szCs w:val="24"/>
        </w:rPr>
      </w:pPr>
      <w:r>
        <w:rPr>
          <w:rFonts w:ascii="Times New Roman" w:hAnsi="Times New Roman" w:cs="Times New Roman"/>
          <w:sz w:val="24"/>
          <w:szCs w:val="24"/>
        </w:rPr>
        <w:t xml:space="preserve">Es gibt eine doppelte Auslöseschwelle für die </w:t>
      </w:r>
      <w:r w:rsidR="002033F6">
        <w:rPr>
          <w:rFonts w:ascii="Times New Roman" w:hAnsi="Times New Roman" w:cs="Times New Roman"/>
          <w:sz w:val="24"/>
          <w:szCs w:val="24"/>
        </w:rPr>
        <w:t>Zustimmun</w:t>
      </w:r>
      <w:r>
        <w:rPr>
          <w:rFonts w:ascii="Times New Roman" w:hAnsi="Times New Roman" w:cs="Times New Roman"/>
          <w:sz w:val="24"/>
          <w:szCs w:val="24"/>
        </w:rPr>
        <w:t xml:space="preserve">gsbedürftig des </w:t>
      </w:r>
      <w:r w:rsidR="002033F6">
        <w:rPr>
          <w:rFonts w:ascii="Times New Roman" w:hAnsi="Times New Roman" w:cs="Times New Roman"/>
          <w:sz w:val="24"/>
          <w:szCs w:val="24"/>
        </w:rPr>
        <w:t>Erwerb</w:t>
      </w:r>
      <w:r>
        <w:rPr>
          <w:rFonts w:ascii="Times New Roman" w:hAnsi="Times New Roman" w:cs="Times New Roman"/>
          <w:sz w:val="24"/>
          <w:szCs w:val="24"/>
        </w:rPr>
        <w:t>s</w:t>
      </w:r>
      <w:r w:rsidR="002033F6">
        <w:rPr>
          <w:rFonts w:ascii="Times New Roman" w:hAnsi="Times New Roman" w:cs="Times New Roman"/>
          <w:sz w:val="24"/>
          <w:szCs w:val="24"/>
        </w:rPr>
        <w:t xml:space="preserve"> von Beteiligungen an Unternehmen</w:t>
      </w:r>
      <w:r>
        <w:rPr>
          <w:rFonts w:ascii="Times New Roman" w:hAnsi="Times New Roman" w:cs="Times New Roman"/>
          <w:sz w:val="24"/>
          <w:szCs w:val="24"/>
        </w:rPr>
        <w:t xml:space="preserve">, dazu gehört auch die Anteilsübernahme von ausscheidenden </w:t>
      </w:r>
      <w:r w:rsidR="00AB5E07">
        <w:rPr>
          <w:rFonts w:ascii="Times New Roman" w:hAnsi="Times New Roman" w:cs="Times New Roman"/>
          <w:sz w:val="24"/>
          <w:szCs w:val="24"/>
        </w:rPr>
        <w:t>Gesellschaftern</w:t>
      </w:r>
      <w:r>
        <w:rPr>
          <w:rFonts w:ascii="Times New Roman" w:hAnsi="Times New Roman" w:cs="Times New Roman"/>
          <w:sz w:val="24"/>
          <w:szCs w:val="24"/>
        </w:rPr>
        <w:t>:</w:t>
      </w:r>
    </w:p>
    <w:p w:rsidR="002033F6" w:rsidRPr="00AB5E07" w:rsidRDefault="00A91EAE" w:rsidP="00AB5E07">
      <w:pPr>
        <w:pStyle w:val="Listenabsatz"/>
        <w:numPr>
          <w:ilvl w:val="0"/>
          <w:numId w:val="2"/>
        </w:numPr>
        <w:spacing w:after="0"/>
        <w:rPr>
          <w:rFonts w:ascii="Times New Roman" w:hAnsi="Times New Roman" w:cs="Times New Roman"/>
          <w:sz w:val="24"/>
          <w:szCs w:val="24"/>
        </w:rPr>
      </w:pPr>
      <w:r w:rsidRPr="00AB5E07">
        <w:rPr>
          <w:rFonts w:ascii="Times New Roman" w:hAnsi="Times New Roman" w:cs="Times New Roman"/>
          <w:sz w:val="24"/>
          <w:szCs w:val="24"/>
        </w:rPr>
        <w:t>Bestimmender Einfluß aus das Unternehmen wenn mehr als 25 % des Kapitals oder der Stimmrechte (in einer Hand?) gehalten werden</w:t>
      </w:r>
    </w:p>
    <w:p w:rsidR="00AB5E07" w:rsidRPr="00AB5E07" w:rsidRDefault="00AB5E07" w:rsidP="00AB5E07">
      <w:pPr>
        <w:spacing w:after="0"/>
        <w:rPr>
          <w:rFonts w:ascii="Times New Roman" w:hAnsi="Times New Roman" w:cs="Times New Roman"/>
          <w:sz w:val="24"/>
          <w:szCs w:val="24"/>
        </w:rPr>
      </w:pPr>
      <w:r>
        <w:rPr>
          <w:rFonts w:ascii="Times New Roman" w:hAnsi="Times New Roman" w:cs="Times New Roman"/>
          <w:sz w:val="24"/>
          <w:szCs w:val="24"/>
        </w:rPr>
        <w:t xml:space="preserve">und </w:t>
      </w:r>
    </w:p>
    <w:p w:rsidR="00A91EAE" w:rsidRDefault="00A91EAE" w:rsidP="00A91EAE">
      <w:pPr>
        <w:spacing w:after="0"/>
        <w:rPr>
          <w:rFonts w:ascii="Times New Roman" w:hAnsi="Times New Roman" w:cs="Times New Roman"/>
          <w:sz w:val="24"/>
          <w:szCs w:val="24"/>
        </w:rPr>
      </w:pPr>
      <w:r>
        <w:rPr>
          <w:rFonts w:ascii="Times New Roman" w:hAnsi="Times New Roman" w:cs="Times New Roman"/>
          <w:sz w:val="24"/>
          <w:szCs w:val="24"/>
        </w:rPr>
        <w:t>2. das Unternehmen mehr als 250 ha LN besitzt</w:t>
      </w:r>
    </w:p>
    <w:p w:rsidR="00A91EAE" w:rsidRDefault="00A91EAE" w:rsidP="00A91EAE">
      <w:pPr>
        <w:spacing w:after="0"/>
        <w:rPr>
          <w:rFonts w:ascii="Times New Roman" w:hAnsi="Times New Roman" w:cs="Times New Roman"/>
          <w:sz w:val="24"/>
          <w:szCs w:val="24"/>
        </w:rPr>
      </w:pPr>
      <w:r>
        <w:rPr>
          <w:rFonts w:ascii="Times New Roman" w:hAnsi="Times New Roman" w:cs="Times New Roman"/>
          <w:sz w:val="24"/>
          <w:szCs w:val="24"/>
        </w:rPr>
        <w:t>Stiftungen scheinen hiervon nicht erfaßt zu sein.</w:t>
      </w:r>
    </w:p>
    <w:p w:rsidR="00AB5E07" w:rsidRPr="00D15CEA" w:rsidRDefault="00AB5E07" w:rsidP="00AB5E07">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lastRenderedPageBreak/>
        <w:t xml:space="preserve">Wie gesagt, hier wird in die alleinige Gesetzgebungskompetenz des Bundes </w:t>
      </w:r>
      <w:r w:rsidR="00FB1569">
        <w:rPr>
          <w:rFonts w:ascii="Times New Roman" w:eastAsia="Times New Roman" w:hAnsi="Times New Roman" w:cs="Times New Roman"/>
          <w:sz w:val="24"/>
          <w:szCs w:val="24"/>
          <w:lang w:eastAsia="de-DE" w:bidi="ar-SA"/>
        </w:rPr>
        <w:t xml:space="preserve">zum Gesellschaftsrecht </w:t>
      </w:r>
      <w:r>
        <w:rPr>
          <w:rFonts w:ascii="Times New Roman" w:eastAsia="Times New Roman" w:hAnsi="Times New Roman" w:cs="Times New Roman"/>
          <w:sz w:val="24"/>
          <w:szCs w:val="24"/>
          <w:lang w:eastAsia="de-DE" w:bidi="ar-SA"/>
        </w:rPr>
        <w:t>eingegriffen. Selbst wenn diese</w:t>
      </w:r>
      <w:r w:rsidRPr="00D15CEA">
        <w:rPr>
          <w:rFonts w:ascii="Times New Roman" w:eastAsia="Times New Roman" w:hAnsi="Times New Roman" w:cs="Times New Roman"/>
          <w:sz w:val="24"/>
          <w:szCs w:val="24"/>
          <w:lang w:eastAsia="de-DE" w:bidi="ar-SA"/>
        </w:rPr>
        <w:t xml:space="preserve"> in Bezug auf landwirtschaftliche </w:t>
      </w:r>
      <w:proofErr w:type="spellStart"/>
      <w:r>
        <w:rPr>
          <w:rFonts w:ascii="Times New Roman" w:eastAsia="Times New Roman" w:hAnsi="Times New Roman" w:cs="Times New Roman"/>
          <w:sz w:val="24"/>
          <w:szCs w:val="24"/>
          <w:lang w:eastAsia="de-DE" w:bidi="ar-SA"/>
        </w:rPr>
        <w:t>share</w:t>
      </w:r>
      <w:proofErr w:type="spellEnd"/>
      <w:r>
        <w:rPr>
          <w:rFonts w:ascii="Times New Roman" w:eastAsia="Times New Roman" w:hAnsi="Times New Roman" w:cs="Times New Roman"/>
          <w:sz w:val="24"/>
          <w:szCs w:val="24"/>
          <w:lang w:eastAsia="de-DE" w:bidi="ar-SA"/>
        </w:rPr>
        <w:t xml:space="preserve"> </w:t>
      </w:r>
      <w:proofErr w:type="spellStart"/>
      <w:r>
        <w:rPr>
          <w:rFonts w:ascii="Times New Roman" w:eastAsia="Times New Roman" w:hAnsi="Times New Roman" w:cs="Times New Roman"/>
          <w:sz w:val="24"/>
          <w:szCs w:val="24"/>
          <w:lang w:eastAsia="de-DE" w:bidi="ar-SA"/>
        </w:rPr>
        <w:t>d</w:t>
      </w:r>
      <w:r w:rsidRPr="00D15CEA">
        <w:rPr>
          <w:rFonts w:ascii="Times New Roman" w:eastAsia="Times New Roman" w:hAnsi="Times New Roman" w:cs="Times New Roman"/>
          <w:sz w:val="24"/>
          <w:szCs w:val="24"/>
          <w:lang w:eastAsia="de-DE" w:bidi="ar-SA"/>
        </w:rPr>
        <w:t>eals</w:t>
      </w:r>
      <w:proofErr w:type="spellEnd"/>
      <w:r w:rsidRPr="00D15CEA">
        <w:rPr>
          <w:rFonts w:ascii="Times New Roman" w:eastAsia="Times New Roman" w:hAnsi="Times New Roman" w:cs="Times New Roman"/>
          <w:sz w:val="24"/>
          <w:szCs w:val="24"/>
          <w:lang w:eastAsia="de-DE" w:bidi="ar-SA"/>
        </w:rPr>
        <w:t xml:space="preserve"> auf die Länder übertragen würde, könnte es sein, daß unterschiedliche Regelungen der Bundesländ</w:t>
      </w:r>
      <w:r>
        <w:rPr>
          <w:rFonts w:ascii="Times New Roman" w:eastAsia="Times New Roman" w:hAnsi="Times New Roman" w:cs="Times New Roman"/>
          <w:sz w:val="24"/>
          <w:szCs w:val="24"/>
          <w:lang w:eastAsia="de-DE" w:bidi="ar-SA"/>
        </w:rPr>
        <w:t>er zu einem Gesetzeschaos</w:t>
      </w:r>
      <w:r w:rsidRPr="00D15CEA">
        <w:rPr>
          <w:rFonts w:ascii="Times New Roman" w:eastAsia="Times New Roman" w:hAnsi="Times New Roman" w:cs="Times New Roman"/>
          <w:sz w:val="24"/>
          <w:szCs w:val="24"/>
          <w:lang w:eastAsia="de-DE" w:bidi="ar-SA"/>
        </w:rPr>
        <w:t xml:space="preserve"> führen.</w:t>
      </w:r>
    </w:p>
    <w:p w:rsidR="00E752BF" w:rsidRDefault="00AB5E07"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Ungeklärt ist übrigens, wie mit den Bestandsunternehmen zu verfahren ist. Sind diese alle zu zerschlagen – zweite Bodenreform?</w:t>
      </w:r>
    </w:p>
    <w:p w:rsidR="009659B6" w:rsidRDefault="009659B6" w:rsidP="00964199">
      <w:pPr>
        <w:spacing w:after="0" w:line="240" w:lineRule="auto"/>
        <w:rPr>
          <w:rFonts w:ascii="Times New Roman" w:eastAsia="Times New Roman" w:hAnsi="Times New Roman" w:cs="Times New Roman"/>
          <w:sz w:val="24"/>
          <w:szCs w:val="24"/>
          <w:lang w:eastAsia="de-DE" w:bidi="ar-SA"/>
        </w:rPr>
      </w:pPr>
    </w:p>
    <w:p w:rsidR="009D430A" w:rsidRDefault="009D430A"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Der Zustimmungsantrag ist bei der </w:t>
      </w:r>
      <w:proofErr w:type="spellStart"/>
      <w:r>
        <w:rPr>
          <w:rFonts w:ascii="Times New Roman" w:eastAsia="Times New Roman" w:hAnsi="Times New Roman" w:cs="Times New Roman"/>
          <w:sz w:val="24"/>
          <w:szCs w:val="24"/>
          <w:lang w:eastAsia="de-DE" w:bidi="ar-SA"/>
        </w:rPr>
        <w:t>Grundstück</w:t>
      </w:r>
      <w:r w:rsidR="00FB1569">
        <w:rPr>
          <w:rFonts w:ascii="Times New Roman" w:eastAsia="Times New Roman" w:hAnsi="Times New Roman" w:cs="Times New Roman"/>
          <w:sz w:val="24"/>
          <w:szCs w:val="24"/>
          <w:lang w:eastAsia="de-DE" w:bidi="ar-SA"/>
        </w:rPr>
        <w:t>sverkehrbehörde</w:t>
      </w:r>
      <w:proofErr w:type="spellEnd"/>
      <w:r w:rsidR="00FB1569">
        <w:rPr>
          <w:rFonts w:ascii="Times New Roman" w:eastAsia="Times New Roman" w:hAnsi="Times New Roman" w:cs="Times New Roman"/>
          <w:sz w:val="24"/>
          <w:szCs w:val="24"/>
          <w:lang w:eastAsia="de-DE" w:bidi="ar-SA"/>
        </w:rPr>
        <w:t xml:space="preserve"> zu stellen. Die</w:t>
      </w:r>
      <w:r>
        <w:rPr>
          <w:rFonts w:ascii="Times New Roman" w:eastAsia="Times New Roman" w:hAnsi="Times New Roman" w:cs="Times New Roman"/>
          <w:sz w:val="24"/>
          <w:szCs w:val="24"/>
          <w:lang w:eastAsia="de-DE" w:bidi="ar-SA"/>
        </w:rPr>
        <w:t xml:space="preserve"> Versagung </w:t>
      </w:r>
      <w:r w:rsidR="00D4790D">
        <w:rPr>
          <w:rFonts w:ascii="Times New Roman" w:eastAsia="Times New Roman" w:hAnsi="Times New Roman" w:cs="Times New Roman"/>
          <w:sz w:val="24"/>
          <w:szCs w:val="24"/>
          <w:lang w:eastAsia="de-DE" w:bidi="ar-SA"/>
        </w:rPr>
        <w:t>nach § 28 ist unverständlich bzw. unpräzise geregelt und läßt dem Ermessen breiten Raum: Wesentliche Beeinträchtigung auf dem regionalen Bodenmarkt sowie der Gegenwert in einem groben Mißverhältnis zum anteiligen Wert der LN des landwirtschaftlichen Unternehmens steht.</w:t>
      </w:r>
    </w:p>
    <w:p w:rsidR="00D4790D" w:rsidRDefault="00DA6029"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Entgegen der</w:t>
      </w:r>
      <w:r w:rsidR="00D4790D">
        <w:rPr>
          <w:rFonts w:ascii="Times New Roman" w:eastAsia="Times New Roman" w:hAnsi="Times New Roman" w:cs="Times New Roman"/>
          <w:sz w:val="24"/>
          <w:szCs w:val="24"/>
          <w:lang w:eastAsia="de-DE" w:bidi="ar-SA"/>
        </w:rPr>
        <w:t xml:space="preserve"> Rechtsprechung des </w:t>
      </w:r>
      <w:proofErr w:type="spellStart"/>
      <w:r w:rsidR="00D4790D">
        <w:rPr>
          <w:rFonts w:ascii="Times New Roman" w:eastAsia="Times New Roman" w:hAnsi="Times New Roman" w:cs="Times New Roman"/>
          <w:sz w:val="24"/>
          <w:szCs w:val="24"/>
          <w:lang w:eastAsia="de-DE" w:bidi="ar-SA"/>
        </w:rPr>
        <w:t>EuGH</w:t>
      </w:r>
      <w:proofErr w:type="spellEnd"/>
      <w:r w:rsidR="00D4790D">
        <w:rPr>
          <w:rFonts w:ascii="Times New Roman" w:eastAsia="Times New Roman" w:hAnsi="Times New Roman" w:cs="Times New Roman"/>
          <w:sz w:val="24"/>
          <w:szCs w:val="24"/>
          <w:lang w:eastAsia="de-DE" w:bidi="ar-SA"/>
        </w:rPr>
        <w:t xml:space="preserve"> ist auch noch die landwirtschaftliche Fachkunde des Erwerbers zu berücksichtigen.</w:t>
      </w:r>
    </w:p>
    <w:p w:rsidR="00D4790D" w:rsidRDefault="00D4790D"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 xml:space="preserve">In der Gesetzesbegründung und nicht im Gesetz findet sich eine Delikatesse: </w:t>
      </w:r>
      <w:r w:rsidR="00DA6029">
        <w:rPr>
          <w:rFonts w:ascii="Times New Roman" w:eastAsia="Times New Roman" w:hAnsi="Times New Roman" w:cs="Times New Roman"/>
          <w:sz w:val="24"/>
          <w:szCs w:val="24"/>
          <w:lang w:eastAsia="de-DE" w:bidi="ar-SA"/>
        </w:rPr>
        <w:t xml:space="preserve">Die fehlende Zustimmung zum </w:t>
      </w:r>
      <w:proofErr w:type="spellStart"/>
      <w:r w:rsidR="00DA6029">
        <w:rPr>
          <w:rFonts w:ascii="Times New Roman" w:eastAsia="Times New Roman" w:hAnsi="Times New Roman" w:cs="Times New Roman"/>
          <w:sz w:val="24"/>
          <w:szCs w:val="24"/>
          <w:lang w:eastAsia="de-DE" w:bidi="ar-SA"/>
        </w:rPr>
        <w:t>share</w:t>
      </w:r>
      <w:proofErr w:type="spellEnd"/>
      <w:r w:rsidR="00DA6029">
        <w:rPr>
          <w:rFonts w:ascii="Times New Roman" w:eastAsia="Times New Roman" w:hAnsi="Times New Roman" w:cs="Times New Roman"/>
          <w:sz w:val="24"/>
          <w:szCs w:val="24"/>
          <w:lang w:eastAsia="de-DE" w:bidi="ar-SA"/>
        </w:rPr>
        <w:t xml:space="preserve"> deal soll nicht unmittelbar die Wirksamkeit des Erwerbs hindern. Stattdessen soll die Verhängung einer Geldbuße zur Abschöpfung der wirtschaftlichen Vorteile möglich sein. Es fragt sich, worin die wirtschaftlichen Vorteile liegen, wie sie von wem </w:t>
      </w:r>
      <w:proofErr w:type="spellStart"/>
      <w:r w:rsidR="00304E35">
        <w:rPr>
          <w:rFonts w:ascii="Times New Roman" w:eastAsia="Times New Roman" w:hAnsi="Times New Roman" w:cs="Times New Roman"/>
          <w:sz w:val="24"/>
          <w:szCs w:val="24"/>
          <w:lang w:eastAsia="de-DE" w:bidi="ar-SA"/>
        </w:rPr>
        <w:t>diskrimierungsfrei</w:t>
      </w:r>
      <w:proofErr w:type="spellEnd"/>
      <w:r w:rsidR="00304E35">
        <w:rPr>
          <w:rFonts w:ascii="Times New Roman" w:eastAsia="Times New Roman" w:hAnsi="Times New Roman" w:cs="Times New Roman"/>
          <w:sz w:val="24"/>
          <w:szCs w:val="24"/>
          <w:lang w:eastAsia="de-DE" w:bidi="ar-SA"/>
        </w:rPr>
        <w:t xml:space="preserve"> </w:t>
      </w:r>
      <w:r w:rsidR="00DA6029">
        <w:rPr>
          <w:rFonts w:ascii="Times New Roman" w:eastAsia="Times New Roman" w:hAnsi="Times New Roman" w:cs="Times New Roman"/>
          <w:sz w:val="24"/>
          <w:szCs w:val="24"/>
          <w:lang w:eastAsia="de-DE" w:bidi="ar-SA"/>
        </w:rPr>
        <w:t xml:space="preserve">ermittelt werden. </w:t>
      </w:r>
    </w:p>
    <w:p w:rsidR="00DA6029" w:rsidRDefault="00DA6029" w:rsidP="00964199">
      <w:pPr>
        <w:spacing w:after="0" w:line="240" w:lineRule="auto"/>
        <w:rPr>
          <w:rFonts w:ascii="Times New Roman" w:eastAsia="Times New Roman" w:hAnsi="Times New Roman" w:cs="Times New Roman"/>
          <w:sz w:val="24"/>
          <w:szCs w:val="24"/>
          <w:lang w:eastAsia="de-DE" w:bidi="ar-SA"/>
        </w:rPr>
      </w:pPr>
    </w:p>
    <w:p w:rsidR="00964199" w:rsidRPr="00D15CEA" w:rsidRDefault="00DA6029" w:rsidP="00964199">
      <w:pPr>
        <w:spacing w:after="0" w:line="240" w:lineRule="auto"/>
        <w:rPr>
          <w:rFonts w:ascii="Times New Roman" w:eastAsia="Times New Roman" w:hAnsi="Times New Roman" w:cs="Times New Roman"/>
          <w:sz w:val="24"/>
          <w:szCs w:val="24"/>
          <w:lang w:eastAsia="de-DE" w:bidi="ar-SA"/>
        </w:rPr>
      </w:pPr>
      <w:r>
        <w:rPr>
          <w:rFonts w:ascii="Times New Roman" w:eastAsia="Times New Roman" w:hAnsi="Times New Roman" w:cs="Times New Roman"/>
          <w:sz w:val="24"/>
          <w:szCs w:val="24"/>
          <w:lang w:eastAsia="de-DE" w:bidi="ar-SA"/>
        </w:rPr>
        <w:t>Als Anhänger der sozialen Marktwirtschaft merkt man die Absicht des Gesetzentwurfs und ist verstimmt: Möglichst v</w:t>
      </w:r>
      <w:r w:rsidR="00964199" w:rsidRPr="00D15CEA">
        <w:rPr>
          <w:rFonts w:ascii="Times New Roman" w:eastAsia="Times New Roman" w:hAnsi="Times New Roman" w:cs="Times New Roman"/>
          <w:sz w:val="24"/>
          <w:szCs w:val="24"/>
          <w:lang w:eastAsia="de-DE" w:bidi="ar-SA"/>
        </w:rPr>
        <w:t>iele kleine Betriebe als dankbare Alimentationsemp</w:t>
      </w:r>
      <w:r w:rsidR="00FB1569">
        <w:rPr>
          <w:rFonts w:ascii="Times New Roman" w:eastAsia="Times New Roman" w:hAnsi="Times New Roman" w:cs="Times New Roman"/>
          <w:sz w:val="24"/>
          <w:szCs w:val="24"/>
          <w:lang w:eastAsia="de-DE" w:bidi="ar-SA"/>
        </w:rPr>
        <w:t>f</w:t>
      </w:r>
      <w:r w:rsidR="00964199" w:rsidRPr="00D15CEA">
        <w:rPr>
          <w:rFonts w:ascii="Times New Roman" w:eastAsia="Times New Roman" w:hAnsi="Times New Roman" w:cs="Times New Roman"/>
          <w:sz w:val="24"/>
          <w:szCs w:val="24"/>
          <w:lang w:eastAsia="de-DE" w:bidi="ar-SA"/>
        </w:rPr>
        <w:t xml:space="preserve">änger </w:t>
      </w:r>
      <w:r>
        <w:rPr>
          <w:rFonts w:ascii="Times New Roman" w:eastAsia="Times New Roman" w:hAnsi="Times New Roman" w:cs="Times New Roman"/>
          <w:sz w:val="24"/>
          <w:szCs w:val="24"/>
          <w:lang w:eastAsia="de-DE" w:bidi="ar-SA"/>
        </w:rPr>
        <w:t>die weiterhin das schwächstes Glied in der Verma</w:t>
      </w:r>
      <w:r w:rsidR="00964199" w:rsidRPr="00D15CEA">
        <w:rPr>
          <w:rFonts w:ascii="Times New Roman" w:eastAsia="Times New Roman" w:hAnsi="Times New Roman" w:cs="Times New Roman"/>
          <w:sz w:val="24"/>
          <w:szCs w:val="24"/>
          <w:lang w:eastAsia="de-DE" w:bidi="ar-SA"/>
        </w:rPr>
        <w:t>rktungskette</w:t>
      </w:r>
      <w:r w:rsidR="00304E35">
        <w:rPr>
          <w:rFonts w:ascii="Times New Roman" w:eastAsia="Times New Roman" w:hAnsi="Times New Roman" w:cs="Times New Roman"/>
          <w:sz w:val="24"/>
          <w:szCs w:val="24"/>
          <w:lang w:eastAsia="de-DE" w:bidi="ar-SA"/>
        </w:rPr>
        <w:t xml:space="preserve"> bleiben</w:t>
      </w:r>
      <w:r w:rsidR="00964199" w:rsidRPr="00D15CEA">
        <w:rPr>
          <w:rFonts w:ascii="Times New Roman" w:eastAsia="Times New Roman" w:hAnsi="Times New Roman" w:cs="Times New Roman"/>
          <w:sz w:val="24"/>
          <w:szCs w:val="24"/>
          <w:lang w:eastAsia="de-DE" w:bidi="ar-SA"/>
        </w:rPr>
        <w:t xml:space="preserve">. </w:t>
      </w:r>
      <w:r>
        <w:rPr>
          <w:rFonts w:ascii="Times New Roman" w:eastAsia="Times New Roman" w:hAnsi="Times New Roman" w:cs="Times New Roman"/>
          <w:sz w:val="24"/>
          <w:szCs w:val="24"/>
          <w:lang w:eastAsia="de-DE" w:bidi="ar-SA"/>
        </w:rPr>
        <w:t>Leistungsfähige Großbetriebe</w:t>
      </w:r>
      <w:r w:rsidR="00FB1569">
        <w:rPr>
          <w:rFonts w:ascii="Times New Roman" w:eastAsia="Times New Roman" w:hAnsi="Times New Roman" w:cs="Times New Roman"/>
          <w:sz w:val="24"/>
          <w:szCs w:val="24"/>
          <w:lang w:eastAsia="de-DE" w:bidi="ar-SA"/>
        </w:rPr>
        <w:t>,</w:t>
      </w:r>
      <w:r>
        <w:rPr>
          <w:rFonts w:ascii="Times New Roman" w:eastAsia="Times New Roman" w:hAnsi="Times New Roman" w:cs="Times New Roman"/>
          <w:sz w:val="24"/>
          <w:szCs w:val="24"/>
          <w:lang w:eastAsia="de-DE" w:bidi="ar-SA"/>
        </w:rPr>
        <w:t xml:space="preserve"> die Zukunft gestalten können, sind nicht erwünscht. </w:t>
      </w:r>
      <w:r w:rsidR="00634EE2">
        <w:rPr>
          <w:rFonts w:ascii="Times New Roman" w:eastAsia="Times New Roman" w:hAnsi="Times New Roman" w:cs="Times New Roman"/>
          <w:sz w:val="24"/>
          <w:szCs w:val="24"/>
          <w:lang w:eastAsia="de-DE" w:bidi="ar-SA"/>
        </w:rPr>
        <w:t xml:space="preserve">Grundstückseigentümer und Mitglieder von Agrarunternehmen </w:t>
      </w:r>
      <w:r w:rsidR="00304E35">
        <w:rPr>
          <w:rFonts w:ascii="Times New Roman" w:eastAsia="Times New Roman" w:hAnsi="Times New Roman" w:cs="Times New Roman"/>
          <w:sz w:val="24"/>
          <w:szCs w:val="24"/>
          <w:lang w:eastAsia="de-DE" w:bidi="ar-SA"/>
        </w:rPr>
        <w:t xml:space="preserve">sollen nicht so viel bekommen indem man Preise und Verfügbarkeiten dämpft. </w:t>
      </w:r>
      <w:r w:rsidR="00964199" w:rsidRPr="00D15CEA">
        <w:rPr>
          <w:rFonts w:ascii="Times New Roman" w:eastAsia="Times New Roman" w:hAnsi="Times New Roman" w:cs="Times New Roman"/>
          <w:sz w:val="24"/>
          <w:szCs w:val="24"/>
          <w:lang w:eastAsia="de-DE" w:bidi="ar-SA"/>
        </w:rPr>
        <w:t xml:space="preserve">Ist das eine Zukunftsvision? </w:t>
      </w:r>
    </w:p>
    <w:p w:rsidR="00964199" w:rsidRPr="00304E35" w:rsidRDefault="00304E35">
      <w:pPr>
        <w:rPr>
          <w:rFonts w:ascii="Times New Roman" w:hAnsi="Times New Roman" w:cs="Times New Roman"/>
          <w:sz w:val="24"/>
          <w:szCs w:val="24"/>
        </w:rPr>
      </w:pPr>
      <w:r>
        <w:rPr>
          <w:rFonts w:ascii="Times New Roman" w:hAnsi="Times New Roman" w:cs="Times New Roman"/>
          <w:sz w:val="24"/>
          <w:szCs w:val="24"/>
        </w:rPr>
        <w:t xml:space="preserve">Fazit: Der Entwurf sollte im </w:t>
      </w:r>
      <w:proofErr w:type="spellStart"/>
      <w:r>
        <w:rPr>
          <w:rFonts w:ascii="Times New Roman" w:hAnsi="Times New Roman" w:cs="Times New Roman"/>
          <w:sz w:val="24"/>
          <w:szCs w:val="24"/>
        </w:rPr>
        <w:t>Kuriosenkab</w:t>
      </w:r>
      <w:r w:rsidRPr="00304E35">
        <w:rPr>
          <w:rFonts w:ascii="Times New Roman" w:hAnsi="Times New Roman" w:cs="Times New Roman"/>
          <w:sz w:val="24"/>
          <w:szCs w:val="24"/>
        </w:rPr>
        <w:t>inett</w:t>
      </w:r>
      <w:proofErr w:type="spellEnd"/>
      <w:r w:rsidRPr="00304E35">
        <w:rPr>
          <w:rFonts w:ascii="Times New Roman" w:hAnsi="Times New Roman" w:cs="Times New Roman"/>
          <w:sz w:val="24"/>
          <w:szCs w:val="24"/>
        </w:rPr>
        <w:t xml:space="preserve"> entsorgt werden.</w:t>
      </w:r>
    </w:p>
    <w:sectPr w:rsidR="00964199" w:rsidRPr="00304E35" w:rsidSect="005E2A44">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E6" w:rsidRDefault="009346E6" w:rsidP="004C5FC1">
      <w:pPr>
        <w:spacing w:after="0" w:line="240" w:lineRule="auto"/>
      </w:pPr>
      <w:r>
        <w:separator/>
      </w:r>
    </w:p>
  </w:endnote>
  <w:endnote w:type="continuationSeparator" w:id="0">
    <w:p w:rsidR="009346E6" w:rsidRDefault="009346E6" w:rsidP="004C5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178751"/>
      <w:docPartObj>
        <w:docPartGallery w:val="Page Numbers (Bottom of Page)"/>
        <w:docPartUnique/>
      </w:docPartObj>
    </w:sdtPr>
    <w:sdtContent>
      <w:p w:rsidR="004C5FC1" w:rsidRDefault="004C5FC1">
        <w:pPr>
          <w:pStyle w:val="Fuzeile"/>
          <w:jc w:val="center"/>
        </w:pPr>
        <w:fldSimple w:instr=" PAGE   \* MERGEFORMAT ">
          <w:r>
            <w:rPr>
              <w:noProof/>
            </w:rPr>
            <w:t>3</w:t>
          </w:r>
        </w:fldSimple>
      </w:p>
    </w:sdtContent>
  </w:sdt>
  <w:p w:rsidR="004C5FC1" w:rsidRDefault="004C5FC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E6" w:rsidRDefault="009346E6" w:rsidP="004C5FC1">
      <w:pPr>
        <w:spacing w:after="0" w:line="240" w:lineRule="auto"/>
      </w:pPr>
      <w:r>
        <w:separator/>
      </w:r>
    </w:p>
  </w:footnote>
  <w:footnote w:type="continuationSeparator" w:id="0">
    <w:p w:rsidR="009346E6" w:rsidRDefault="009346E6" w:rsidP="004C5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BBC"/>
    <w:multiLevelType w:val="hybridMultilevel"/>
    <w:tmpl w:val="CB16AE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29D46A65"/>
    <w:multiLevelType w:val="hybridMultilevel"/>
    <w:tmpl w:val="0B12F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1"/>
  <w:defaultTabStop w:val="708"/>
  <w:hyphenationZone w:val="425"/>
  <w:characterSpacingControl w:val="doNotCompress"/>
  <w:footnotePr>
    <w:footnote w:id="-1"/>
    <w:footnote w:id="0"/>
  </w:footnotePr>
  <w:endnotePr>
    <w:endnote w:id="-1"/>
    <w:endnote w:id="0"/>
  </w:endnotePr>
  <w:compat/>
  <w:rsids>
    <w:rsidRoot w:val="00964199"/>
    <w:rsid w:val="00020542"/>
    <w:rsid w:val="000B1EA8"/>
    <w:rsid w:val="001B63A7"/>
    <w:rsid w:val="001E444D"/>
    <w:rsid w:val="002033F6"/>
    <w:rsid w:val="00282C0A"/>
    <w:rsid w:val="002A77A8"/>
    <w:rsid w:val="002B7D21"/>
    <w:rsid w:val="00304E35"/>
    <w:rsid w:val="00307C44"/>
    <w:rsid w:val="00311625"/>
    <w:rsid w:val="00423897"/>
    <w:rsid w:val="00431442"/>
    <w:rsid w:val="0044222A"/>
    <w:rsid w:val="004C5FC1"/>
    <w:rsid w:val="005819EA"/>
    <w:rsid w:val="00595C57"/>
    <w:rsid w:val="005A044B"/>
    <w:rsid w:val="005E2A44"/>
    <w:rsid w:val="00614FC9"/>
    <w:rsid w:val="00634EE2"/>
    <w:rsid w:val="00680DE2"/>
    <w:rsid w:val="006966C7"/>
    <w:rsid w:val="006D7F26"/>
    <w:rsid w:val="00720A01"/>
    <w:rsid w:val="007712E8"/>
    <w:rsid w:val="00884DBD"/>
    <w:rsid w:val="00886590"/>
    <w:rsid w:val="00887A9F"/>
    <w:rsid w:val="00923827"/>
    <w:rsid w:val="009346E6"/>
    <w:rsid w:val="00954675"/>
    <w:rsid w:val="00964199"/>
    <w:rsid w:val="009659B6"/>
    <w:rsid w:val="00966265"/>
    <w:rsid w:val="00995CA2"/>
    <w:rsid w:val="009D430A"/>
    <w:rsid w:val="00A227F1"/>
    <w:rsid w:val="00A23DCB"/>
    <w:rsid w:val="00A43E89"/>
    <w:rsid w:val="00A61C96"/>
    <w:rsid w:val="00A91EAE"/>
    <w:rsid w:val="00AB5E07"/>
    <w:rsid w:val="00B050B4"/>
    <w:rsid w:val="00B63422"/>
    <w:rsid w:val="00B93451"/>
    <w:rsid w:val="00B9410D"/>
    <w:rsid w:val="00BA2B1F"/>
    <w:rsid w:val="00BC5ACD"/>
    <w:rsid w:val="00C05EAB"/>
    <w:rsid w:val="00C20745"/>
    <w:rsid w:val="00CE2915"/>
    <w:rsid w:val="00CE435A"/>
    <w:rsid w:val="00D4790D"/>
    <w:rsid w:val="00D53443"/>
    <w:rsid w:val="00DA6029"/>
    <w:rsid w:val="00DC120F"/>
    <w:rsid w:val="00DC794C"/>
    <w:rsid w:val="00E7048C"/>
    <w:rsid w:val="00E752BF"/>
    <w:rsid w:val="00EA0F2D"/>
    <w:rsid w:val="00EE5FC0"/>
    <w:rsid w:val="00F152F4"/>
    <w:rsid w:val="00F56ED2"/>
    <w:rsid w:val="00F60648"/>
    <w:rsid w:val="00F945DE"/>
    <w:rsid w:val="00FB15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5E07"/>
    <w:rPr>
      <w:lang w:val="de-DE"/>
    </w:rPr>
  </w:style>
  <w:style w:type="paragraph" w:styleId="berschrift1">
    <w:name w:val="heading 1"/>
    <w:basedOn w:val="Standard"/>
    <w:next w:val="Standard"/>
    <w:link w:val="berschrift1Zchn"/>
    <w:uiPriority w:val="9"/>
    <w:qFormat/>
    <w:rsid w:val="00C05EAB"/>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C05EAB"/>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C05EAB"/>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C05EAB"/>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C05EAB"/>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C05EAB"/>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C05EAB"/>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C05EAB"/>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C05EAB"/>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5EAB"/>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C05EAB"/>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C05EAB"/>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C05EAB"/>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C05EAB"/>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C05EAB"/>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C05EAB"/>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C05EAB"/>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C05EAB"/>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C05EAB"/>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C05EAB"/>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C05EAB"/>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C05EAB"/>
    <w:rPr>
      <w:rFonts w:asciiTheme="majorHAnsi" w:eastAsiaTheme="majorEastAsia" w:hAnsiTheme="majorHAnsi" w:cstheme="majorBidi"/>
      <w:i/>
      <w:iCs/>
      <w:spacing w:val="13"/>
      <w:sz w:val="24"/>
      <w:szCs w:val="24"/>
    </w:rPr>
  </w:style>
  <w:style w:type="character" w:styleId="Fett">
    <w:name w:val="Strong"/>
    <w:uiPriority w:val="22"/>
    <w:qFormat/>
    <w:rsid w:val="00C05EAB"/>
    <w:rPr>
      <w:b/>
      <w:bCs/>
    </w:rPr>
  </w:style>
  <w:style w:type="character" w:styleId="Hervorhebung">
    <w:name w:val="Emphasis"/>
    <w:uiPriority w:val="20"/>
    <w:qFormat/>
    <w:rsid w:val="00C05EAB"/>
    <w:rPr>
      <w:b/>
      <w:bCs/>
      <w:i/>
      <w:iCs/>
      <w:spacing w:val="10"/>
      <w:bdr w:val="none" w:sz="0" w:space="0" w:color="auto"/>
      <w:shd w:val="clear" w:color="auto" w:fill="auto"/>
    </w:rPr>
  </w:style>
  <w:style w:type="paragraph" w:styleId="KeinLeerraum">
    <w:name w:val="No Spacing"/>
    <w:basedOn w:val="Standard"/>
    <w:uiPriority w:val="1"/>
    <w:qFormat/>
    <w:rsid w:val="00C05EAB"/>
    <w:pPr>
      <w:spacing w:after="0" w:line="240" w:lineRule="auto"/>
    </w:pPr>
  </w:style>
  <w:style w:type="paragraph" w:styleId="Listenabsatz">
    <w:name w:val="List Paragraph"/>
    <w:basedOn w:val="Standard"/>
    <w:uiPriority w:val="34"/>
    <w:qFormat/>
    <w:rsid w:val="00C05EAB"/>
    <w:pPr>
      <w:ind w:left="720"/>
      <w:contextualSpacing/>
    </w:pPr>
  </w:style>
  <w:style w:type="paragraph" w:styleId="Anfhrungszeichen">
    <w:name w:val="Quote"/>
    <w:basedOn w:val="Standard"/>
    <w:next w:val="Standard"/>
    <w:link w:val="AnfhrungszeichenZchn"/>
    <w:uiPriority w:val="29"/>
    <w:qFormat/>
    <w:rsid w:val="00C05EAB"/>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C05EAB"/>
    <w:rPr>
      <w:i/>
      <w:iCs/>
    </w:rPr>
  </w:style>
  <w:style w:type="paragraph" w:styleId="IntensivesAnfhrungszeichen">
    <w:name w:val="Intense Quote"/>
    <w:basedOn w:val="Standard"/>
    <w:next w:val="Standard"/>
    <w:link w:val="IntensivesAnfhrungszeichenZchn"/>
    <w:uiPriority w:val="30"/>
    <w:qFormat/>
    <w:rsid w:val="00C05EAB"/>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C05EAB"/>
    <w:rPr>
      <w:b/>
      <w:bCs/>
      <w:i/>
      <w:iCs/>
    </w:rPr>
  </w:style>
  <w:style w:type="character" w:styleId="SchwacheHervorhebung">
    <w:name w:val="Subtle Emphasis"/>
    <w:uiPriority w:val="19"/>
    <w:qFormat/>
    <w:rsid w:val="00C05EAB"/>
    <w:rPr>
      <w:i/>
      <w:iCs/>
    </w:rPr>
  </w:style>
  <w:style w:type="character" w:styleId="IntensiveHervorhebung">
    <w:name w:val="Intense Emphasis"/>
    <w:uiPriority w:val="21"/>
    <w:qFormat/>
    <w:rsid w:val="00C05EAB"/>
    <w:rPr>
      <w:b/>
      <w:bCs/>
    </w:rPr>
  </w:style>
  <w:style w:type="character" w:styleId="SchwacherVerweis">
    <w:name w:val="Subtle Reference"/>
    <w:uiPriority w:val="31"/>
    <w:qFormat/>
    <w:rsid w:val="00C05EAB"/>
    <w:rPr>
      <w:smallCaps/>
    </w:rPr>
  </w:style>
  <w:style w:type="character" w:styleId="IntensiverVerweis">
    <w:name w:val="Intense Reference"/>
    <w:uiPriority w:val="32"/>
    <w:qFormat/>
    <w:rsid w:val="00C05EAB"/>
    <w:rPr>
      <w:smallCaps/>
      <w:spacing w:val="5"/>
      <w:u w:val="single"/>
    </w:rPr>
  </w:style>
  <w:style w:type="character" w:styleId="Buchtitel">
    <w:name w:val="Book Title"/>
    <w:uiPriority w:val="33"/>
    <w:qFormat/>
    <w:rsid w:val="00C05EAB"/>
    <w:rPr>
      <w:i/>
      <w:iCs/>
      <w:smallCaps/>
      <w:spacing w:val="5"/>
    </w:rPr>
  </w:style>
  <w:style w:type="paragraph" w:styleId="Inhaltsverzeichnisberschrift">
    <w:name w:val="TOC Heading"/>
    <w:basedOn w:val="berschrift1"/>
    <w:next w:val="Standard"/>
    <w:uiPriority w:val="39"/>
    <w:semiHidden/>
    <w:unhideWhenUsed/>
    <w:qFormat/>
    <w:rsid w:val="00C05EAB"/>
    <w:pPr>
      <w:outlineLvl w:val="9"/>
    </w:pPr>
    <w:rPr>
      <w:lang w:val="de-DE"/>
    </w:rPr>
  </w:style>
  <w:style w:type="paragraph" w:customStyle="1" w:styleId="Default">
    <w:name w:val="Default"/>
    <w:rsid w:val="00CE435A"/>
    <w:pPr>
      <w:autoSpaceDE w:val="0"/>
      <w:autoSpaceDN w:val="0"/>
      <w:adjustRightInd w:val="0"/>
      <w:spacing w:after="0" w:line="240" w:lineRule="auto"/>
    </w:pPr>
    <w:rPr>
      <w:rFonts w:ascii="EUAlbertina" w:hAnsi="EUAlbertina" w:cs="EUAlbertina"/>
      <w:color w:val="000000"/>
      <w:sz w:val="24"/>
      <w:szCs w:val="24"/>
      <w:lang w:val="de-DE" w:bidi="ar-SA"/>
    </w:rPr>
  </w:style>
  <w:style w:type="character" w:styleId="Hyperlink">
    <w:name w:val="Hyperlink"/>
    <w:basedOn w:val="Absatz-Standardschriftart"/>
    <w:uiPriority w:val="99"/>
    <w:semiHidden/>
    <w:unhideWhenUsed/>
    <w:rsid w:val="00A23DCB"/>
    <w:rPr>
      <w:color w:val="0000FF"/>
      <w:u w:val="single"/>
    </w:rPr>
  </w:style>
  <w:style w:type="paragraph" w:styleId="Sprechblasentext">
    <w:name w:val="Balloon Text"/>
    <w:basedOn w:val="Standard"/>
    <w:link w:val="SprechblasentextZchn"/>
    <w:uiPriority w:val="99"/>
    <w:semiHidden/>
    <w:unhideWhenUsed/>
    <w:rsid w:val="004C5F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FC1"/>
    <w:rPr>
      <w:rFonts w:ascii="Tahoma" w:hAnsi="Tahoma" w:cs="Tahoma"/>
      <w:sz w:val="16"/>
      <w:szCs w:val="16"/>
      <w:lang w:val="de-DE"/>
    </w:rPr>
  </w:style>
  <w:style w:type="paragraph" w:styleId="Kopfzeile">
    <w:name w:val="header"/>
    <w:basedOn w:val="Standard"/>
    <w:link w:val="KopfzeileZchn"/>
    <w:uiPriority w:val="99"/>
    <w:semiHidden/>
    <w:unhideWhenUsed/>
    <w:rsid w:val="004C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C5FC1"/>
    <w:rPr>
      <w:lang w:val="de-DE"/>
    </w:rPr>
  </w:style>
  <w:style w:type="paragraph" w:styleId="Fuzeile">
    <w:name w:val="footer"/>
    <w:basedOn w:val="Standard"/>
    <w:link w:val="FuzeileZchn"/>
    <w:uiPriority w:val="99"/>
    <w:unhideWhenUsed/>
    <w:rsid w:val="004C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FC1"/>
    <w:rPr>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Vertrag_%C3%BCber_die_Arbeitsweise_der_Europ%C3%A4ischen_Un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2020-11-22T11:14:00Z</dcterms:created>
  <dcterms:modified xsi:type="dcterms:W3CDTF">2020-12-07T10:41:00Z</dcterms:modified>
</cp:coreProperties>
</file>